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anrope-0.odttf" ContentType="application/vnd.openxmlformats-officedocument.obfuscatedFont"/>
  <Override PartName="/word/fonts/manrope-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Manrope" w:hAnsi="Manrope" w:eastAsia="Manrope" w:cs="Manrope"/>
          <w:b w:val="0"/>
          <w:color w:val="000000"/>
          <w:sz w:val="44"/>
        </w:rPr>
        <w:t>Future Meditech CPR</w:t>
        <w:br/>
        <w:t>International Packages and Pricing</w:t>
      </w:r>
    </w:p>
    <w:p>
      <w:pPr>
        <w:pStyle w:val="Subtitle"/>
      </w:pPr>
      <w:r>
        <w:rPr>
          <w:rFonts w:ascii="Manrope" w:hAnsi="Manrope" w:eastAsia="Manrope" w:cs="Manrope"/>
          <w:b w:val="0"/>
          <w:sz w:val="20"/>
        </w:rPr>
        <w:t>EUR base price list | EU market edition | September 2026</w:t>
      </w:r>
    </w:p>
    <w:p>
      <w:r>
        <w:rPr>
          <w:rFonts w:ascii="Manrope" w:hAnsi="Manrope" w:eastAsia="Manrope" w:cs="Manrope"/>
          <w:b w:val="0"/>
          <w:sz w:val="19"/>
        </w:rPr>
        <w:t>Choose an instructor-led workshop for your team or install a dedicated CPR training station for your institution. Our VR CPR Simulation combines practice on a physical CPR manikin with an interactive virtual environment and real-time feedback on chest compressions.</w:t>
      </w:r>
    </w:p>
    <w:p>
      <w:r>
        <w:rPr>
          <w:rFonts w:ascii="Manrope" w:hAnsi="Manrope" w:eastAsia="Manrope" w:cs="Manrope"/>
          <w:b/>
          <w:sz w:val="19"/>
        </w:rPr>
        <w:t>All prices are in EUR, excluding VAT and any applicable destination taxes.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131"/>
        <w:gridCol w:w="5472"/>
        <w:gridCol w:w="2563"/>
      </w:tblGrid>
      <w:tr>
        <w:trPr>
          <w:cantSplit/>
          <w:tblHeader/>
        </w:trPr>
        <w:tc>
          <w:tcPr>
            <w:tcW w:type="dxa" w:w="2131"/>
            <w:vAlign w:val="center"/>
            <w:shd w:fill="0B2536"/>
            <w:tcMar>
              <w:top w:w="95" w:type="dxa"/>
              <w:bottom w:w="95" w:type="dxa"/>
              <w:left w:w="110" w:type="dxa"/>
              <w:right w:w="110" w:type="dxa"/>
            </w:tcMar>
          </w:tcPr>
          <w:p>
            <w:pPr>
              <w:spacing w:after="60" w:line="269" w:lineRule="auto" w:before="60"/>
              <w:jc w:val="left"/>
            </w:pPr>
            <w:r>
              <w:rPr>
                <w:rFonts w:ascii="Manrope" w:hAnsi="Manrope" w:eastAsia="Manrope" w:cs="Manrope"/>
                <w:b/>
                <w:color w:val="FFFFFF"/>
                <w:sz w:val="18"/>
              </w:rPr>
              <w:t>Package</w:t>
            </w:r>
          </w:p>
        </w:tc>
        <w:tc>
          <w:tcPr>
            <w:tcW w:type="dxa" w:w="5472"/>
            <w:vAlign w:val="center"/>
            <w:shd w:fill="0B2536"/>
            <w:tcMar>
              <w:top w:w="95" w:type="dxa"/>
              <w:bottom w:w="95" w:type="dxa"/>
              <w:left w:w="110" w:type="dxa"/>
              <w:right w:w="110" w:type="dxa"/>
            </w:tcMar>
          </w:tcPr>
          <w:p>
            <w:pPr>
              <w:spacing w:after="60" w:line="269" w:lineRule="auto" w:before="60"/>
              <w:jc w:val="left"/>
            </w:pPr>
            <w:r>
              <w:rPr>
                <w:rFonts w:ascii="Manrope" w:hAnsi="Manrope" w:eastAsia="Manrope" w:cs="Manrope"/>
                <w:b/>
                <w:color w:val="FFFFFF"/>
                <w:sz w:val="18"/>
              </w:rPr>
              <w:t>What is included</w:t>
            </w:r>
          </w:p>
        </w:tc>
        <w:tc>
          <w:tcPr>
            <w:tcW w:type="dxa" w:w="2563"/>
            <w:vAlign w:val="center"/>
            <w:shd w:fill="0B2536"/>
            <w:tcMar>
              <w:top w:w="95" w:type="dxa"/>
              <w:bottom w:w="95" w:type="dxa"/>
              <w:left w:w="110" w:type="dxa"/>
              <w:right w:w="110" w:type="dxa"/>
            </w:tcMar>
          </w:tcPr>
          <w:p>
            <w:pPr>
              <w:spacing w:after="60" w:line="269" w:lineRule="auto" w:before="60"/>
              <w:jc w:val="right"/>
            </w:pPr>
            <w:r>
              <w:rPr>
                <w:rFonts w:ascii="Manrope" w:hAnsi="Manrope" w:eastAsia="Manrope" w:cs="Manrope"/>
                <w:b/>
                <w:color w:val="FFFFFF"/>
                <w:sz w:val="18"/>
              </w:rPr>
              <w:t>Base price</w:t>
            </w:r>
          </w:p>
        </w:tc>
      </w:tr>
      <w:tr>
        <w:trPr>
          <w:cantSplit/>
        </w:trPr>
        <w:tc>
          <w:tcPr>
            <w:tcW w:type="dxa" w:w="2131"/>
            <w:vAlign w:val="center"/>
            <w:shd w:fill="F0F4F3"/>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CPR Workshop</w:t>
            </w:r>
          </w:p>
        </w:tc>
        <w:tc>
          <w:tcPr>
            <w:tcW w:type="dxa" w:w="5472"/>
            <w:vAlign w:val="center"/>
            <w:shd w:fill="F0F4F3"/>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One 4-hour onsite session for up to 15 participants, a complete VR station and a two-person delivery team.</w:t>
            </w:r>
          </w:p>
        </w:tc>
        <w:tc>
          <w:tcPr>
            <w:tcW w:type="dxa" w:w="2563"/>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€1,490</w:t>
              <w:br/>
              <w:t>+ travel per visit</w:t>
            </w:r>
          </w:p>
        </w:tc>
      </w:tr>
      <w:tr>
        <w:trPr>
          <w:cantSplit/>
        </w:trPr>
        <w:tc>
          <w:tcPr>
            <w:tcW w:type="dxa" w:w="2131"/>
            <w:vAlign w:val="center"/>
            <w:shd w:fill="FFFFFF"/>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CPR Annual Programme</w:t>
            </w:r>
          </w:p>
        </w:tc>
        <w:tc>
          <w:tcPr>
            <w:tcW w:type="dxa" w:w="5472"/>
            <w:vAlign w:val="center"/>
            <w:shd w:fill="FFFFFF"/>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Four complete workshops within 12 months, with up to 60 participant places in total.</w:t>
            </w:r>
          </w:p>
        </w:tc>
        <w:tc>
          <w:tcPr>
            <w:tcW w:type="dxa" w:w="2563"/>
            <w:vAlign w:val="center"/>
            <w:shd w:fill="FFFFFF"/>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€4,990</w:t>
              <w:br/>
              <w:t>+ travel for</w:t>
              <w:br/>
              <w:t>four visits</w:t>
            </w:r>
          </w:p>
        </w:tc>
      </w:tr>
      <w:tr>
        <w:trPr>
          <w:cantSplit/>
        </w:trPr>
        <w:tc>
          <w:tcPr>
            <w:tcW w:type="dxa" w:w="2131"/>
            <w:vAlign w:val="center"/>
            <w:shd w:fill="F0F4F3"/>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CPR Institutional Licence</w:t>
            </w:r>
          </w:p>
        </w:tc>
        <w:tc>
          <w:tcPr>
            <w:tcW w:type="dxa" w:w="5472"/>
            <w:vAlign w:val="center"/>
            <w:shd w:fill="F0F4F3"/>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One station for 12 months on approved customer-owned hardware, remote setup and instructor onboarding.</w:t>
            </w:r>
          </w:p>
        </w:tc>
        <w:tc>
          <w:tcPr>
            <w:tcW w:type="dxa" w:w="2563"/>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€1,580 first year</w:t>
              <w:br/>
              <w:t>€1,190 / year</w:t>
              <w:br/>
              <w:t>renewal</w:t>
            </w:r>
          </w:p>
        </w:tc>
      </w:tr>
      <w:tr>
        <w:trPr>
          <w:cantSplit/>
        </w:trPr>
        <w:tc>
          <w:tcPr>
            <w:tcW w:type="dxa" w:w="2131"/>
            <w:vAlign w:val="center"/>
            <w:shd w:fill="FFFFFF"/>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CPR Complete Station</w:t>
            </w:r>
          </w:p>
        </w:tc>
        <w:tc>
          <w:tcPr>
            <w:tcW w:type="dxa" w:w="5472"/>
            <w:vAlign w:val="center"/>
            <w:shd w:fill="FFFFFF"/>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One complete hardware kit to own, 12-month software licence, EU delivery and remote commissioning.</w:t>
            </w:r>
          </w:p>
        </w:tc>
        <w:tc>
          <w:tcPr>
            <w:tcW w:type="dxa" w:w="2563"/>
            <w:vAlign w:val="center"/>
            <w:shd w:fill="FFFFFF"/>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€5,990 first year</w:t>
              <w:br/>
              <w:t>€1,190 / year</w:t>
              <w:br/>
              <w:t>renewal</w:t>
            </w:r>
          </w:p>
        </w:tc>
      </w:tr>
    </w:tbl>
    <w:p>
      <w:pPr>
        <w:spacing w:after="20"/>
      </w:pPr>
      <w:r>
        <w:rPr>
          <w:rFonts w:ascii="Manrope" w:hAnsi="Manrope" w:eastAsia="Manrope" w:cs="Manrope"/>
          <w:b w:val="0"/>
          <w:sz w:val="4"/>
        </w:rPr>
      </w:r>
    </w:p>
    <w:p>
      <w:pPr>
        <w:pStyle w:val="Heading2"/>
        <w:spacing w:before="200" w:after="100"/>
      </w:pPr>
      <w:r>
        <w:rPr>
          <w:rFonts w:ascii="Manrope" w:hAnsi="Manrope" w:eastAsia="Manrope" w:cs="Manrope"/>
          <w:sz w:val="24"/>
        </w:rPr>
        <w:t>Choosing a package</w:t>
      </w:r>
    </w:p>
    <w:p>
      <w:r>
        <w:rPr>
          <w:rFonts w:ascii="Manrope" w:hAnsi="Manrope" w:eastAsia="Manrope" w:cs="Manrope"/>
          <w:b w:val="0"/>
          <w:sz w:val="19"/>
        </w:rPr>
        <w:t>The Workshop and Annual Programme suit employers who want Future Meditech to run the training. The Institutional Licence suits organisations with compatible equipment and their own instructors. The Complete Station provides the equipment and onboarding needed to operate an institutional training station.</w:t>
      </w:r>
    </w:p>
    <w:p>
      <w:r>
        <w:rPr>
          <w:rFonts w:ascii="Manrope" w:hAnsi="Manrope" w:eastAsia="Manrope" w:cs="Manrope"/>
          <w:b w:val="0"/>
          <w:sz w:val="19"/>
        </w:rPr>
        <w:t>Both institutional packages cover one legal entity, one site and one station used by one learner at a time. There is no separate per-learner licence fee for the institution's own staff and students.</w:t>
      </w:r>
    </w:p>
    <w:p>
      <w:pPr>
        <w:pStyle w:val="Heading2"/>
        <w:spacing w:before="200" w:after="100"/>
      </w:pPr>
      <w:r>
        <w:rPr>
          <w:rFonts w:ascii="Manrope" w:hAnsi="Manrope" w:eastAsia="Manrope" w:cs="Manrope"/>
          <w:sz w:val="24"/>
        </w:rPr>
        <w:t>International delivery</w:t>
      </w:r>
    </w:p>
    <w:p>
      <w:r>
        <w:rPr>
          <w:rFonts w:ascii="Manrope" w:hAnsi="Manrope" w:eastAsia="Manrope" w:cs="Manrope"/>
          <w:b w:val="0"/>
          <w:sz w:val="19"/>
        </w:rPr>
        <w:t>Facilitation, onboarding, documentation and support are provided in English. The application language and delivered software version are stated in the quotation and demonstrated before order acceptance. Additional language localisation is a separately scoped service.</w:t>
      </w:r>
    </w:p>
    <w:p>
      <w:r>
        <w:rPr>
          <w:rFonts w:ascii="Manrope" w:hAnsi="Manrope" w:eastAsia="Manrope" w:cs="Manrope"/>
          <w:b w:val="0"/>
          <w:sz w:val="19"/>
        </w:rPr>
        <w:t>The travel table on page 3 gives the complete onsite price for standard EU bookings. Institutional packages use remote commissioning; an onsite setup option is available. UK, Swiss and other non-EU delivery is quoted with destination-specific logistics.</w:t>
      </w:r>
    </w:p>
    <w:p>
      <w:r>
        <w:rPr>
          <w:rFonts w:ascii="Manrope" w:hAnsi="Manrope" w:eastAsia="Manrope" w:cs="Manrope"/>
          <w:sz w:val="19"/>
        </w:rPr>
      </w:r>
    </w:p>
    <w:p>
      <w:pPr>
        <w:pStyle w:val="Heading1"/>
        <w:pageBreakBefore/>
        <w:spacing w:before="200" w:after="100"/>
      </w:pPr>
      <w:r>
        <w:rPr>
          <w:rFonts w:ascii="Manrope" w:hAnsi="Manrope" w:eastAsia="Manrope" w:cs="Manrope"/>
          <w:sz w:val="36"/>
        </w:rPr>
        <w:t>Institutional packages</w:t>
      </w:r>
    </w:p>
    <w:p>
      <w:pPr>
        <w:pStyle w:val="Heading2"/>
        <w:spacing w:before="200" w:after="100"/>
      </w:pPr>
      <w:r>
        <w:rPr>
          <w:rFonts w:ascii="Manrope" w:hAnsi="Manrope" w:eastAsia="Manrope" w:cs="Manrope"/>
          <w:sz w:val="24"/>
        </w:rPr>
        <w:t>CPR Institutional Licence</w:t>
      </w:r>
    </w:p>
    <w:p>
      <w:r>
        <w:rPr>
          <w:rFonts w:ascii="Manrope" w:hAnsi="Manrope" w:eastAsia="Manrope" w:cs="Manrope"/>
          <w:b/>
          <w:sz w:val="19"/>
        </w:rPr>
        <w:t>€1,580 for the first 12 months | €1,190 per year to renew</w:t>
      </w:r>
    </w:p>
    <w:p>
      <w:r>
        <w:rPr>
          <w:rFonts w:ascii="Manrope" w:hAnsi="Manrope" w:eastAsia="Manrope" w:cs="Manrope"/>
          <w:b w:val="0"/>
          <w:sz w:val="19"/>
        </w:rPr>
        <w:t>The first-year total comprises a €1,190 annual licence and a €390 one-time remote setup and onboarding fee. This package is for customer-owned equipment approved through a compatibility check before order acceptance.</w:t>
      </w:r>
    </w:p>
    <w:p>
      <w:pPr>
        <w:pStyle w:val="ListBullet"/>
      </w:pPr>
      <w:r>
        <w:rPr>
          <w:rFonts w:ascii="Manrope" w:hAnsi="Manrope" w:eastAsia="Manrope" w:cs="Manrope"/>
          <w:b w:val="0"/>
          <w:sz w:val="19"/>
        </w:rPr>
        <w:t>One licence for the existing CPR application on one named station at one site. The application provides the existing layperson and professional training modes described in the product brochure.</w:t>
      </w:r>
    </w:p>
    <w:p>
      <w:pPr>
        <w:pStyle w:val="ListBullet"/>
      </w:pPr>
      <w:r>
        <w:rPr>
          <w:rFonts w:ascii="Manrope" w:hAnsi="Manrope" w:eastAsia="Manrope" w:cs="Manrope"/>
          <w:b w:val="0"/>
          <w:sz w:val="19"/>
        </w:rPr>
        <w:t>Remote installation and commissioning, followed by two 2-hour online onboarding sessions for up to four internal instructors. An English operator guide and operating checklist are included.</w:t>
      </w:r>
    </w:p>
    <w:p>
      <w:pPr>
        <w:pStyle w:val="ListBullet"/>
      </w:pPr>
      <w:r>
        <w:rPr>
          <w:rFonts w:ascii="Manrope" w:hAnsi="Manrope" w:eastAsia="Manrope" w:cs="Manrope"/>
          <w:b w:val="0"/>
          <w:sz w:val="19"/>
        </w:rPr>
        <w:t>Released updates and bug fixes for the licensed CPR product, plus six hours of remote user consultation during the 12-month term.</w:t>
      </w:r>
    </w:p>
    <w:p>
      <w:r>
        <w:rPr>
          <w:rFonts w:ascii="Manrope" w:hAnsi="Manrope" w:eastAsia="Manrope" w:cs="Manrope"/>
          <w:b w:val="0"/>
          <w:sz w:val="19"/>
        </w:rPr>
        <w:t>The customer provides the approved VR headset, integrated CPR manikin and any required runtime device or accessories. Hardware purchases, replacements and custom compatibility engineering are outside this package.</w:t>
      </w:r>
    </w:p>
    <w:p>
      <w:pPr>
        <w:pStyle w:val="Heading2"/>
        <w:spacing w:before="200" w:after="100"/>
      </w:pPr>
      <w:r>
        <w:rPr>
          <w:rFonts w:ascii="Manrope" w:hAnsi="Manrope" w:eastAsia="Manrope" w:cs="Manrope"/>
          <w:sz w:val="24"/>
        </w:rPr>
        <w:t>CPR Complete Station</w:t>
      </w:r>
    </w:p>
    <w:p>
      <w:r>
        <w:rPr>
          <w:rFonts w:ascii="Manrope" w:hAnsi="Manrope" w:eastAsia="Manrope" w:cs="Manrope"/>
          <w:b/>
          <w:sz w:val="19"/>
        </w:rPr>
        <w:t>€5,990 for the first 12 months | €1,190 per year to renew</w:t>
      </w:r>
    </w:p>
    <w:p>
      <w:r>
        <w:rPr>
          <w:rFonts w:ascii="Manrope" w:hAnsi="Manrope" w:eastAsia="Manrope" w:cs="Manrope"/>
          <w:b w:val="0"/>
          <w:sz w:val="19"/>
        </w:rPr>
        <w:t>Includes the Institutional Licence, remote commissioning and onboarding above, together with one preconfigured hardware kit:</w:t>
      </w:r>
    </w:p>
    <w:p>
      <w:pPr>
        <w:pStyle w:val="ListBullet"/>
      </w:pPr>
      <w:r>
        <w:rPr>
          <w:rFonts w:ascii="Manrope" w:hAnsi="Manrope" w:eastAsia="Manrope" w:cs="Manrope"/>
          <w:b w:val="0"/>
          <w:sz w:val="19"/>
        </w:rPr>
        <w:t>One compatible VR headset and one integrated physical CPR manikin with the components required to deliver compression feedback.</w:t>
      </w:r>
    </w:p>
    <w:p>
      <w:pPr>
        <w:pStyle w:val="ListBullet"/>
      </w:pPr>
      <w:r>
        <w:rPr>
          <w:rFonts w:ascii="Manrope" w:hAnsi="Manrope" w:eastAsia="Manrope" w:cs="Manrope"/>
          <w:b w:val="0"/>
          <w:sz w:val="19"/>
        </w:rPr>
        <w:t>All required controllers, cables, chargers and runtime equipment. If the selected configuration requires a computer, it is included in the package price.</w:t>
      </w:r>
    </w:p>
    <w:p>
      <w:pPr>
        <w:pStyle w:val="ListBullet"/>
      </w:pPr>
      <w:r>
        <w:rPr>
          <w:rFonts w:ascii="Manrope" w:hAnsi="Manrope" w:eastAsia="Manrope" w:cs="Manrope"/>
          <w:b w:val="0"/>
          <w:sz w:val="19"/>
        </w:rPr>
        <w:t>One transport case, an initial hygiene kit, insured standard shipping to one EU business address and a guided remote commissioning session.</w:t>
      </w:r>
    </w:p>
    <w:p>
      <w:r>
        <w:rPr>
          <w:rFonts w:ascii="Manrope" w:hAnsi="Manrope" w:eastAsia="Manrope" w:cs="Manrope"/>
          <w:b/>
          <w:sz w:val="19"/>
        </w:rPr>
        <w:t>The model names and complete equipment list are recorded in the order. The customer owns the hardware after full payment. The annual software term starts on successful commissioning. After 12 months, continued software use requires renewal; hardware ownership is unaffected.</w:t>
      </w:r>
    </w:p>
    <w:p>
      <w:pPr>
        <w:pStyle w:val="Heading2"/>
        <w:spacing w:before="200" w:after="100"/>
      </w:pPr>
      <w:r>
        <w:rPr>
          <w:rFonts w:ascii="Manrope" w:hAnsi="Manrope" w:eastAsia="Manrope" w:cs="Manrope"/>
          <w:sz w:val="24"/>
        </w:rPr>
        <w:t>Support and operation</w:t>
      </w:r>
    </w:p>
    <w:p>
      <w:r>
        <w:rPr>
          <w:rFonts w:ascii="Manrope" w:hAnsi="Manrope" w:eastAsia="Manrope" w:cs="Manrope"/>
          <w:b w:val="0"/>
          <w:sz w:val="19"/>
        </w:rPr>
        <w:t>English support is available on Hungarian business days, 09:00-17:00, Budapest local time. The proposed initial response target is two business days. User consultation beyond the six-hour annual allowance costs €90 per hour; product bug reports are handled separately from this allowance.</w:t>
      </w:r>
    </w:p>
    <w:p>
      <w:r>
        <w:rPr>
          <w:rFonts w:ascii="Manrope" w:hAnsi="Manrope" w:eastAsia="Manrope" w:cs="Manrope"/>
          <w:b w:val="0"/>
          <w:sz w:val="19"/>
        </w:rPr>
        <w:t>The institution provides its own instructors and suitable teaching space. Remote hardware diagnosis and manufacturer warranty coordination are included. Device warranty periods and repair-shipping responsibilities are specified in the quotation; consumables, accidental damage and a loan unit are excluded.</w:t>
      </w:r>
    </w:p>
    <w:p>
      <w:r>
        <w:rPr>
          <w:rFonts w:ascii="Manrope" w:hAnsi="Manrope" w:eastAsia="Manrope" w:cs="Manrope"/>
          <w:sz w:val="19"/>
        </w:rPr>
      </w:r>
    </w:p>
    <w:p>
      <w:pPr>
        <w:pStyle w:val="Heading1"/>
        <w:pageBreakBefore/>
        <w:spacing w:before="200" w:after="100"/>
      </w:pPr>
      <w:r>
        <w:rPr>
          <w:rFonts w:ascii="Manrope" w:hAnsi="Manrope" w:eastAsia="Manrope" w:cs="Manrope"/>
          <w:sz w:val="36"/>
        </w:rPr>
        <w:t>Onsite workshops and travel</w:t>
      </w:r>
    </w:p>
    <w:p>
      <w:pPr>
        <w:pStyle w:val="Heading2"/>
        <w:spacing w:before="200" w:after="100"/>
      </w:pPr>
      <w:r>
        <w:rPr>
          <w:rFonts w:ascii="Manrope" w:hAnsi="Manrope" w:eastAsia="Manrope" w:cs="Manrope"/>
          <w:sz w:val="24"/>
        </w:rPr>
        <w:t>CPR Workshop</w:t>
      </w:r>
    </w:p>
    <w:p>
      <w:r>
        <w:rPr>
          <w:rFonts w:ascii="Manrope" w:hAnsi="Manrope" w:eastAsia="Manrope" w:cs="Manrope"/>
          <w:b/>
          <w:sz w:val="19"/>
        </w:rPr>
        <w:t>€1,490 service fee | 4 hours | up to 15 participants | plus fixed travel fee</w:t>
      </w:r>
    </w:p>
    <w:p>
      <w:pPr>
        <w:pStyle w:val="ListBullet"/>
      </w:pPr>
      <w:r>
        <w:rPr>
          <w:rFonts w:ascii="Manrope" w:hAnsi="Manrope" w:eastAsia="Manrope" w:cs="Manrope"/>
          <w:b w:val="0"/>
          <w:sz w:val="19"/>
        </w:rPr>
        <w:t>One complete VR CPR station and one additional conventional practice manikin for use during the session; one CPR instructor and one technical facilitator.</w:t>
      </w:r>
    </w:p>
    <w:p>
      <w:pPr>
        <w:pStyle w:val="ListBullet"/>
      </w:pPr>
      <w:r>
        <w:rPr>
          <w:rFonts w:ascii="Manrope" w:hAnsi="Manrope" w:eastAsia="Manrope" w:cs="Manrope"/>
          <w:b w:val="0"/>
          <w:sz w:val="19"/>
        </w:rPr>
        <w:t>English facilitation, an introductory briefing and practical exercises. Each participant receives a 10-minute individual VR session including feedback.</w:t>
      </w:r>
    </w:p>
    <w:p>
      <w:pPr>
        <w:pStyle w:val="ListBullet"/>
      </w:pPr>
      <w:r>
        <w:rPr>
          <w:rFonts w:ascii="Manrope" w:hAnsi="Manrope" w:eastAsia="Manrope" w:cs="Manrope"/>
          <w:b w:val="0"/>
          <w:sz w:val="19"/>
        </w:rPr>
        <w:t>Setup, pack-down and hygiene preparation; digital attendance certificates and a one-page instructor-written group summary within five business days.</w:t>
      </w:r>
    </w:p>
    <w:p>
      <w:r>
        <w:rPr>
          <w:rFonts w:ascii="Manrope" w:hAnsi="Manrope" w:eastAsia="Manrope" w:cs="Manrope"/>
          <w:b w:val="0"/>
          <w:sz w:val="19"/>
        </w:rPr>
        <w:t>The four-hour programme allows 30 minutes for the introduction, 150 minutes for individual sessions, 30 minutes for changeovers and hygiene, and 30 minutes for a group debrief and break. Conventional practice can run alongside the VR sessions. Setup and pack-down take place outside participant time.</w:t>
      </w:r>
    </w:p>
    <w:p>
      <w:pPr>
        <w:pStyle w:val="Heading2"/>
        <w:spacing w:before="200" w:after="100"/>
      </w:pPr>
      <w:r>
        <w:rPr>
          <w:rFonts w:ascii="Manrope" w:hAnsi="Manrope" w:eastAsia="Manrope" w:cs="Manrope"/>
          <w:sz w:val="24"/>
        </w:rPr>
        <w:t>CPR Annual Programme</w:t>
      </w:r>
    </w:p>
    <w:p>
      <w:r>
        <w:rPr>
          <w:rFonts w:ascii="Manrope" w:hAnsi="Manrope" w:eastAsia="Manrope" w:cs="Manrope"/>
          <w:b/>
          <w:sz w:val="19"/>
        </w:rPr>
        <w:t>€4,990 service fee | four complete workshops within 12 months | plus travel</w:t>
      </w:r>
    </w:p>
    <w:p>
      <w:r>
        <w:rPr>
          <w:rFonts w:ascii="Manrope" w:hAnsi="Manrope" w:eastAsia="Manrope" w:cs="Manrope"/>
          <w:b w:val="0"/>
          <w:sz w:val="19"/>
        </w:rPr>
        <w:t>Each workshop has the same scope and 15-person limit. The 60 places may be used for different groups or repeat practice by the same staff. The service-fee saving is €970, or 16.3%, compared with four workshops booked individually.</w:t>
      </w:r>
    </w:p>
    <w:p>
      <w:pPr>
        <w:pStyle w:val="Heading2"/>
        <w:spacing w:before="200" w:after="100"/>
      </w:pPr>
      <w:r>
        <w:rPr>
          <w:rFonts w:ascii="Manrope" w:hAnsi="Manrope" w:eastAsia="Manrope" w:cs="Manrope"/>
          <w:sz w:val="24"/>
        </w:rPr>
        <w:t>Fixed travel fees and complete EU prices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320"/>
        <w:gridCol w:w="1512"/>
        <w:gridCol w:w="2002"/>
        <w:gridCol w:w="2333"/>
      </w:tblGrid>
      <w:tr>
        <w:trPr>
          <w:cantSplit/>
          <w:tblHeader/>
        </w:trPr>
        <w:tc>
          <w:tcPr>
            <w:tcW w:type="dxa" w:w="4320"/>
            <w:vAlign w:val="center"/>
            <w:shd w:fill="0B2536"/>
            <w:tcMar>
              <w:top w:w="95" w:type="dxa"/>
              <w:bottom w:w="95" w:type="dxa"/>
              <w:left w:w="110" w:type="dxa"/>
              <w:right w:w="110" w:type="dxa"/>
            </w:tcMar>
          </w:tcPr>
          <w:p>
            <w:pPr>
              <w:spacing w:after="60" w:line="269" w:lineRule="auto" w:before="60"/>
              <w:jc w:val="left"/>
            </w:pPr>
            <w:r>
              <w:rPr>
                <w:rFonts w:ascii="Manrope" w:hAnsi="Manrope" w:eastAsia="Manrope" w:cs="Manrope"/>
                <w:b/>
                <w:color w:val="FFFFFF"/>
                <w:sz w:val="18"/>
              </w:rPr>
              <w:t>Destination</w:t>
            </w:r>
          </w:p>
        </w:tc>
        <w:tc>
          <w:tcPr>
            <w:tcW w:type="dxa" w:w="1512"/>
            <w:vAlign w:val="center"/>
            <w:shd w:fill="0B2536"/>
            <w:tcMar>
              <w:top w:w="95" w:type="dxa"/>
              <w:bottom w:w="95" w:type="dxa"/>
              <w:left w:w="110" w:type="dxa"/>
              <w:right w:w="110" w:type="dxa"/>
            </w:tcMar>
          </w:tcPr>
          <w:p>
            <w:pPr>
              <w:spacing w:after="60" w:line="269" w:lineRule="auto" w:before="60"/>
              <w:jc w:val="right"/>
            </w:pPr>
            <w:r>
              <w:rPr>
                <w:rFonts w:ascii="Manrope" w:hAnsi="Manrope" w:eastAsia="Manrope" w:cs="Manrope"/>
                <w:b/>
                <w:color w:val="FFFFFF"/>
                <w:sz w:val="18"/>
              </w:rPr>
              <w:t>Travel</w:t>
              <w:br/>
              <w:t>per visit</w:t>
            </w:r>
          </w:p>
        </w:tc>
        <w:tc>
          <w:tcPr>
            <w:tcW w:type="dxa" w:w="2002"/>
            <w:vAlign w:val="center"/>
            <w:shd w:fill="0B2536"/>
            <w:tcMar>
              <w:top w:w="95" w:type="dxa"/>
              <w:bottom w:w="95" w:type="dxa"/>
              <w:left w:w="110" w:type="dxa"/>
              <w:right w:w="110" w:type="dxa"/>
            </w:tcMar>
          </w:tcPr>
          <w:p>
            <w:pPr>
              <w:spacing w:after="60" w:line="269" w:lineRule="auto" w:before="60"/>
              <w:jc w:val="right"/>
            </w:pPr>
            <w:r>
              <w:rPr>
                <w:rFonts w:ascii="Manrope" w:hAnsi="Manrope" w:eastAsia="Manrope" w:cs="Manrope"/>
                <w:b/>
                <w:color w:val="FFFFFF"/>
                <w:sz w:val="18"/>
              </w:rPr>
              <w:t>One workshop</w:t>
              <w:br/>
              <w:t>total</w:t>
            </w:r>
          </w:p>
        </w:tc>
        <w:tc>
          <w:tcPr>
            <w:tcW w:type="dxa" w:w="2333"/>
            <w:vAlign w:val="center"/>
            <w:shd w:fill="0B2536"/>
            <w:tcMar>
              <w:top w:w="95" w:type="dxa"/>
              <w:bottom w:w="95" w:type="dxa"/>
              <w:left w:w="110" w:type="dxa"/>
              <w:right w:w="110" w:type="dxa"/>
            </w:tcMar>
          </w:tcPr>
          <w:p>
            <w:pPr>
              <w:spacing w:after="60" w:line="269" w:lineRule="auto" w:before="60"/>
              <w:jc w:val="right"/>
            </w:pPr>
            <w:r>
              <w:rPr>
                <w:rFonts w:ascii="Manrope" w:hAnsi="Manrope" w:eastAsia="Manrope" w:cs="Manrope"/>
                <w:b/>
                <w:color w:val="FFFFFF"/>
                <w:sz w:val="18"/>
              </w:rPr>
              <w:t>Annual programme</w:t>
              <w:br/>
              <w:t>total</w:t>
            </w:r>
          </w:p>
        </w:tc>
      </w:tr>
      <w:tr>
        <w:trPr>
          <w:cantSplit/>
        </w:trPr>
        <w:tc>
          <w:tcPr>
            <w:tcW w:type="dxa" w:w="4320"/>
            <w:vAlign w:val="center"/>
            <w:shd w:fill="F0F4F3"/>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Austria, Slovakia, Czechia, Slovenia</w:t>
            </w:r>
          </w:p>
        </w:tc>
        <w:tc>
          <w:tcPr>
            <w:tcW w:type="dxa" w:w="1512"/>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€490</w:t>
            </w:r>
          </w:p>
        </w:tc>
        <w:tc>
          <w:tcPr>
            <w:tcW w:type="dxa" w:w="2002"/>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€1,980</w:t>
            </w:r>
          </w:p>
        </w:tc>
        <w:tc>
          <w:tcPr>
            <w:tcW w:type="dxa" w:w="2333"/>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€6,950</w:t>
            </w:r>
          </w:p>
        </w:tc>
      </w:tr>
      <w:tr>
        <w:trPr>
          <w:cantSplit/>
        </w:trPr>
        <w:tc>
          <w:tcPr>
            <w:tcW w:type="dxa" w:w="4320"/>
            <w:vAlign w:val="center"/>
            <w:shd w:fill="FFFFFF"/>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Germany, Poland, Croatia, Romania</w:t>
            </w:r>
          </w:p>
        </w:tc>
        <w:tc>
          <w:tcPr>
            <w:tcW w:type="dxa" w:w="1512"/>
            <w:vAlign w:val="center"/>
            <w:shd w:fill="FFFFFF"/>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€790</w:t>
            </w:r>
          </w:p>
        </w:tc>
        <w:tc>
          <w:tcPr>
            <w:tcW w:type="dxa" w:w="2002"/>
            <w:vAlign w:val="center"/>
            <w:shd w:fill="FFFFFF"/>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€2,280</w:t>
            </w:r>
          </w:p>
        </w:tc>
        <w:tc>
          <w:tcPr>
            <w:tcW w:type="dxa" w:w="2333"/>
            <w:vAlign w:val="center"/>
            <w:shd w:fill="FFFFFF"/>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€8,150</w:t>
            </w:r>
          </w:p>
        </w:tc>
      </w:tr>
      <w:tr>
        <w:trPr>
          <w:cantSplit/>
        </w:trPr>
        <w:tc>
          <w:tcPr>
            <w:tcW w:type="dxa" w:w="4320"/>
            <w:vAlign w:val="center"/>
            <w:shd w:fill="F0F4F3"/>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All other EU countries except Hungary</w:t>
            </w:r>
          </w:p>
        </w:tc>
        <w:tc>
          <w:tcPr>
            <w:tcW w:type="dxa" w:w="1512"/>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€1,290</w:t>
            </w:r>
          </w:p>
        </w:tc>
        <w:tc>
          <w:tcPr>
            <w:tcW w:type="dxa" w:w="2002"/>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€2,780</w:t>
            </w:r>
          </w:p>
        </w:tc>
        <w:tc>
          <w:tcPr>
            <w:tcW w:type="dxa" w:w="2333"/>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€10,150</w:t>
            </w:r>
          </w:p>
        </w:tc>
      </w:tr>
    </w:tbl>
    <w:p>
      <w:pPr>
        <w:spacing w:after="20"/>
      </w:pPr>
      <w:r>
        <w:rPr>
          <w:rFonts w:ascii="Manrope" w:hAnsi="Manrope" w:eastAsia="Manrope" w:cs="Manrope"/>
          <w:b w:val="0"/>
          <w:sz w:val="4"/>
        </w:rPr>
      </w:r>
    </w:p>
    <w:p>
      <w:r>
        <w:rPr>
          <w:rFonts w:ascii="Manrope" w:hAnsi="Manrope" w:eastAsia="Manrope" w:cs="Manrope"/>
          <w:b w:val="0"/>
          <w:sz w:val="19"/>
        </w:rPr>
        <w:t>Annual totals assume four separate visits in the same destination group. For mixed destinations, add the four applicable travel fees to €4,990. Hungary receives an individual domestic quotation.</w:t>
      </w:r>
    </w:p>
    <w:p>
      <w:r>
        <w:rPr>
          <w:rFonts w:ascii="Manrope" w:hAnsi="Manrope" w:eastAsia="Manrope" w:cs="Manrope"/>
          <w:b w:val="0"/>
          <w:sz w:val="19"/>
        </w:rPr>
        <w:t>Each fixed travel fee covers return travel for the two-person team, transport of training equipment, local transfers and up to two overnight stays for one onsite delivery day. Standard bookings require at least 30 calendar days' notice and a venue within 60 km of an international airport or major intercity railway station.</w:t>
      </w:r>
    </w:p>
    <w:p>
      <w:r>
        <w:rPr>
          <w:rFonts w:ascii="Manrope" w:hAnsi="Manrope" w:eastAsia="Manrope" w:cs="Manrope"/>
          <w:b w:val="0"/>
          <w:sz w:val="19"/>
        </w:rPr>
        <w:t>Flights, hotels and local transfers within this scope are included in the fixed fee. Short-notice bookings, additional delivery days, overseas territories and venues outside the stated access conditions receive a separate fixed quotation before booking.</w:t>
      </w:r>
    </w:p>
    <w:p>
      <w:r>
        <w:rPr>
          <w:rFonts w:ascii="Manrope" w:hAnsi="Manrope" w:eastAsia="Manrope" w:cs="Manrope"/>
          <w:sz w:val="19"/>
        </w:rPr>
      </w:r>
    </w:p>
    <w:p>
      <w:pPr>
        <w:pStyle w:val="Heading1"/>
        <w:pageBreakBefore/>
        <w:spacing w:before="200" w:after="100"/>
      </w:pPr>
      <w:r>
        <w:rPr>
          <w:rFonts w:ascii="Manrope" w:hAnsi="Manrope" w:eastAsia="Manrope" w:cs="Manrope"/>
          <w:sz w:val="36"/>
        </w:rPr>
        <w:t>Options and commercial terms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7488"/>
        <w:gridCol w:w="2678"/>
      </w:tblGrid>
      <w:tr>
        <w:trPr>
          <w:cantSplit/>
          <w:tblHeader/>
        </w:trPr>
        <w:tc>
          <w:tcPr>
            <w:tcW w:type="dxa" w:w="7488"/>
            <w:vAlign w:val="center"/>
            <w:shd w:fill="0B2536"/>
            <w:tcMar>
              <w:top w:w="95" w:type="dxa"/>
              <w:bottom w:w="95" w:type="dxa"/>
              <w:left w:w="110" w:type="dxa"/>
              <w:right w:w="110" w:type="dxa"/>
            </w:tcMar>
          </w:tcPr>
          <w:p>
            <w:pPr>
              <w:spacing w:after="60" w:line="269" w:lineRule="auto" w:before="60"/>
              <w:jc w:val="left"/>
            </w:pPr>
            <w:r>
              <w:rPr>
                <w:rFonts w:ascii="Manrope" w:hAnsi="Manrope" w:eastAsia="Manrope" w:cs="Manrope"/>
                <w:b/>
                <w:color w:val="FFFFFF"/>
                <w:sz w:val="18"/>
              </w:rPr>
              <w:t>Optional service</w:t>
            </w:r>
          </w:p>
        </w:tc>
        <w:tc>
          <w:tcPr>
            <w:tcW w:type="dxa" w:w="2678"/>
            <w:vAlign w:val="center"/>
            <w:shd w:fill="0B2536"/>
            <w:tcMar>
              <w:top w:w="95" w:type="dxa"/>
              <w:bottom w:w="95" w:type="dxa"/>
              <w:left w:w="110" w:type="dxa"/>
              <w:right w:w="110" w:type="dxa"/>
            </w:tcMar>
          </w:tcPr>
          <w:p>
            <w:pPr>
              <w:spacing w:after="60" w:line="269" w:lineRule="auto" w:before="60"/>
              <w:jc w:val="right"/>
            </w:pPr>
            <w:r>
              <w:rPr>
                <w:rFonts w:ascii="Manrope" w:hAnsi="Manrope" w:eastAsia="Manrope" w:cs="Manrope"/>
                <w:b/>
                <w:color w:val="FFFFFF"/>
                <w:sz w:val="18"/>
              </w:rPr>
              <w:t>Fee</w:t>
            </w:r>
          </w:p>
        </w:tc>
      </w:tr>
      <w:tr>
        <w:trPr>
          <w:cantSplit/>
        </w:trPr>
        <w:tc>
          <w:tcPr>
            <w:tcW w:type="dxa" w:w="7488"/>
            <w:vAlign w:val="center"/>
            <w:shd w:fill="F0F4F3"/>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Second 4-hour workshop on the same day at the same venue, for up to 15 additional participants</w:t>
            </w:r>
          </w:p>
        </w:tc>
        <w:tc>
          <w:tcPr>
            <w:tcW w:type="dxa" w:w="2678"/>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€990</w:t>
            </w:r>
          </w:p>
        </w:tc>
      </w:tr>
      <w:tr>
        <w:trPr>
          <w:cantSplit/>
        </w:trPr>
        <w:tc>
          <w:tcPr>
            <w:tcW w:type="dxa" w:w="7488"/>
            <w:vAlign w:val="center"/>
            <w:shd w:fill="FFFFFF"/>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Onsite commissioning and 4-hour operator onboarding for up to four instructors, replacing remote onboarding</w:t>
            </w:r>
          </w:p>
        </w:tc>
        <w:tc>
          <w:tcPr>
            <w:tcW w:type="dxa" w:w="2678"/>
            <w:vAlign w:val="center"/>
            <w:shd w:fill="FFFFFF"/>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€490 additional</w:t>
              <w:br/>
              <w:t>+ fixed travel fee</w:t>
            </w:r>
          </w:p>
        </w:tc>
      </w:tr>
      <w:tr>
        <w:trPr>
          <w:cantSplit/>
        </w:trPr>
        <w:tc>
          <w:tcPr>
            <w:tcW w:type="dxa" w:w="7488"/>
            <w:vAlign w:val="center"/>
            <w:shd w:fill="F0F4F3"/>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Additional online operator onboarding, 2 hours for up to four people</w:t>
            </w:r>
          </w:p>
        </w:tc>
        <w:tc>
          <w:tcPr>
            <w:tcW w:type="dxa" w:w="2678"/>
            <w:vAlign w:val="center"/>
            <w:shd w:fill="F0F4F3"/>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€190</w:t>
            </w:r>
          </w:p>
        </w:tc>
      </w:tr>
      <w:tr>
        <w:trPr>
          <w:cantSplit/>
        </w:trPr>
        <w:tc>
          <w:tcPr>
            <w:tcW w:type="dxa" w:w="7488"/>
            <w:vAlign w:val="center"/>
            <w:shd w:fill="FFFFFF"/>
            <w:tcMar>
              <w:top w:w="95" w:type="dxa"/>
              <w:bottom w:w="95" w:type="dxa"/>
              <w:left w:w="110" w:type="dxa"/>
              <w:right w:w="110" w:type="dxa"/>
            </w:tcMar>
          </w:tcPr>
          <w:p>
            <w:pPr>
              <w:spacing w:after="60" w:line="269" w:lineRule="auto" w:before="60"/>
              <w:jc w:val="left"/>
            </w:pPr>
            <w:r>
              <w:rPr>
                <w:rFonts w:ascii="Manrope" w:hAnsi="Manrope" w:eastAsia="Manrope" w:cs="Manrope"/>
                <w:color w:val="0B2536"/>
                <w:sz w:val="18"/>
              </w:rPr>
              <w:t>Remote user consultation beyond the six-hour annual allowance</w:t>
            </w:r>
          </w:p>
        </w:tc>
        <w:tc>
          <w:tcPr>
            <w:tcW w:type="dxa" w:w="2678"/>
            <w:vAlign w:val="center"/>
            <w:shd w:fill="FFFFFF"/>
            <w:tcMar>
              <w:top w:w="95" w:type="dxa"/>
              <w:bottom w:w="95" w:type="dxa"/>
              <w:left w:w="110" w:type="dxa"/>
              <w:right w:w="110" w:type="dxa"/>
            </w:tcMar>
          </w:tcPr>
          <w:p>
            <w:pPr>
              <w:spacing w:after="60" w:line="269" w:lineRule="auto" w:before="60"/>
              <w:jc w:val="right"/>
            </w:pPr>
            <w:r>
              <w:rPr>
                <w:rFonts w:ascii="Manrope" w:hAnsi="Manrope" w:eastAsia="Manrope" w:cs="Manrope"/>
                <w:b/>
                <w:color w:val="0B2536"/>
                <w:sz w:val="18"/>
              </w:rPr>
              <w:t>€90 / hour</w:t>
            </w:r>
          </w:p>
        </w:tc>
      </w:tr>
    </w:tbl>
    <w:p>
      <w:pPr>
        <w:spacing w:after="20"/>
      </w:pPr>
      <w:r>
        <w:rPr>
          <w:rFonts w:ascii="Manrope" w:hAnsi="Manrope" w:eastAsia="Manrope" w:cs="Manrope"/>
          <w:b w:val="0"/>
          <w:sz w:val="4"/>
        </w:rPr>
      </w:r>
    </w:p>
    <w:p>
      <w:pPr>
        <w:pStyle w:val="Heading2"/>
        <w:spacing w:before="200" w:after="100"/>
      </w:pPr>
      <w:r>
        <w:rPr>
          <w:rFonts w:ascii="Manrope" w:hAnsi="Manrope" w:eastAsia="Manrope" w:cs="Manrope"/>
          <w:sz w:val="24"/>
        </w:rPr>
        <w:t>Examples of complete orders</w:t>
      </w:r>
    </w:p>
    <w:p>
      <w:r>
        <w:rPr>
          <w:rFonts w:ascii="Manrope" w:hAnsi="Manrope" w:eastAsia="Manrope" w:cs="Manrope"/>
          <w:b w:val="0"/>
          <w:sz w:val="19"/>
        </w:rPr>
        <w:t>Germany, 30 participants on one day: €1,490 + €990 for a second workshop + €790 travel = €3,270 excluding VAT. Two consecutive groups receive eight hours of participant time, plus breaks and setup.</w:t>
      </w:r>
    </w:p>
    <w:p>
      <w:r>
        <w:rPr>
          <w:rFonts w:ascii="Manrope" w:hAnsi="Manrope" w:eastAsia="Manrope" w:cs="Manrope"/>
          <w:b w:val="0"/>
          <w:sz w:val="19"/>
        </w:rPr>
        <w:t>Germany, one Complete Station with onsite commissioning: €5,990 + €490 onsite upgrade + €790 travel = €7,270 excluding VAT. Shipping is included; annual software renewal is €1,190.</w:t>
      </w:r>
    </w:p>
    <w:p>
      <w:pPr>
        <w:pStyle w:val="Heading2"/>
        <w:spacing w:before="200" w:after="100"/>
      </w:pPr>
      <w:r>
        <w:rPr>
          <w:rFonts w:ascii="Manrope" w:hAnsi="Manrope" w:eastAsia="Manrope" w:cs="Manrope"/>
          <w:sz w:val="24"/>
        </w:rPr>
        <w:t>Payment and licence terms</w:t>
      </w:r>
    </w:p>
    <w:p>
      <w:r>
        <w:rPr>
          <w:rFonts w:ascii="Manrope" w:hAnsi="Manrope" w:eastAsia="Manrope" w:cs="Manrope"/>
          <w:b w:val="0"/>
          <w:sz w:val="19"/>
        </w:rPr>
        <w:t>Workshop: 50% of the total at booking, 50% after delivery. Annual Programme: four committed visits in 12 months, each invoiced in advance at €1,247.50 plus travel. Institutional Licence: payable before activation. Complete Station: 50% at order, 50% before dispatch. Invoice payment term: 15 days.</w:t>
      </w:r>
    </w:p>
    <w:p>
      <w:r>
        <w:rPr>
          <w:rFonts w:ascii="Manrope" w:hAnsi="Manrope" w:eastAsia="Manrope" w:cs="Manrope"/>
          <w:b w:val="0"/>
          <w:sz w:val="19"/>
        </w:rPr>
        <w:t>The licence covers the institution's own staff and students. Resale, sublicensing, paid external training, additional sites and concurrent stations require a separate agreement. Renewal covers the next 12 months; source code and intellectual property remain with the rights holders.</w:t>
      </w:r>
    </w:p>
    <w:p>
      <w:pPr>
        <w:pStyle w:val="Heading2"/>
        <w:spacing w:before="200" w:after="100"/>
      </w:pPr>
      <w:r>
        <w:rPr>
          <w:rFonts w:ascii="Manrope" w:hAnsi="Manrope" w:eastAsia="Manrope" w:cs="Manrope"/>
          <w:sz w:val="24"/>
        </w:rPr>
        <w:t>Training scope and certification</w:t>
      </w:r>
    </w:p>
    <w:p>
      <w:r>
        <w:rPr>
          <w:rFonts w:ascii="Manrope" w:hAnsi="Manrope" w:eastAsia="Manrope" w:cs="Manrope"/>
          <w:b w:val="0"/>
          <w:sz w:val="19"/>
        </w:rPr>
        <w:t>New translations, custom scenarios, LMS integration and automated management reporting are separately scoped and quoted. The application language must be confirmed at the pre-order demonstration.</w:t>
      </w:r>
    </w:p>
    <w:p>
      <w:r>
        <w:rPr>
          <w:rFonts w:ascii="Manrope" w:hAnsi="Manrope" w:eastAsia="Manrope" w:cs="Manrope"/>
          <w:b w:val="0"/>
          <w:sz w:val="19"/>
        </w:rPr>
        <w:t>Workshop participants receive an attendance certificate. Accredited BLS/AED certification, examination fees and statutory workplace first-aider qualification are outside the standard packages.</w:t>
      </w:r>
    </w:p>
    <w:p>
      <w:pPr>
        <w:pStyle w:val="Heading2"/>
        <w:spacing w:before="200" w:after="100"/>
      </w:pPr>
      <w:r>
        <w:rPr>
          <w:rFonts w:ascii="Manrope" w:hAnsi="Manrope" w:eastAsia="Manrope" w:cs="Manrope"/>
          <w:sz w:val="24"/>
        </w:rPr>
        <w:t>Shipping and taxes</w:t>
      </w:r>
    </w:p>
    <w:p>
      <w:r>
        <w:rPr>
          <w:rFonts w:ascii="Manrope" w:hAnsi="Manrope" w:eastAsia="Manrope" w:cs="Manrope"/>
          <w:b w:val="0"/>
          <w:sz w:val="19"/>
        </w:rPr>
        <w:t>The station price includes standard insured EU delivery and remote commissioning. Special freight and overseas territories are quoted separately. UK, Swiss and other non-EU orders use the same base prices, with freight, import charges and local adaptations itemised before acceptance. Onsite travel outside the EU is individually quoted.</w:t>
      </w:r>
    </w:p>
    <w:p>
      <w:r>
        <w:rPr>
          <w:rFonts w:ascii="Manrope" w:hAnsi="Manrope" w:eastAsia="Manrope" w:cs="Manrope"/>
          <w:b w:val="0"/>
          <w:sz w:val="19"/>
        </w:rPr>
        <w:t>Prices exclude VAT and destination taxes. Tax treatment is confirmed for each order based on the customer, destination and supply. The quotation states the full order price, delivery date, software language and equipment specification, with a validity period of 30 days.</w:t>
      </w:r>
    </w:p>
    <w:sectPr w:rsidR="00FC693F" w:rsidRPr="0006063C" w:rsidSect="00034616">
      <w:footerReference w:type="default" r:id="rId9"/>
      <w:pgSz w:w="11906" w:h="16838"/>
      <w:pgMar w:top="907" w:right="964" w:bottom="907" w:left="964"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anrope">
    <w:embedRegular r:id="rIdBrandFont0" w:fontKey="{67B9CA9A-B10E-4D42-92CF-E1303942ECE1}"/>
    <w:embedBold r:id="rIdBrandFont1" w:fontKey="{6408E463-0487-4275-8681-B96B471F39DF}"/>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anrope" w:hAnsi="Manrope" w:eastAsia="Manrope" w:cs="Manrope"/>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1" w:lineRule="auto"/>
    </w:pPr>
    <w:rPr>
      <w:rFonts w:ascii="Manrope" w:hAnsi="Manrope" w:eastAsia="Manrope" w:cs="Manrope"/>
      <w:color w:val="0B2536"/>
      <w:sz w:val="19"/>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Manrope" w:hAnsi="Manrope" w:eastAsia="Manrope" w:cs="Manrope"/>
      <w:color w:val="0B253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Manrope" w:hAnsi="Manrope" w:eastAsia="Manrope" w:cs="Manrope"/>
      <w:color w:val="0B253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Manrope" w:hAnsi="Manrope" w:eastAsia="Manrope" w:cs="Manrope"/>
      <w:b/>
      <w:bCs/>
      <w:color w:val="0B2536"/>
      <w:sz w:val="3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Manrope" w:hAnsi="Manrope" w:eastAsia="Manrope" w:cs="Manrope"/>
      <w:b/>
      <w:bCs/>
      <w:color w:val="0B2536"/>
      <w:sz w:val="27"/>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Manrope" w:hAnsi="Manrope" w:eastAsia="Manrope" w:cs="Manrope"/>
      <w:b/>
      <w:bCs/>
      <w:color w:val="0B253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Manrope" w:hAnsi="Manrope" w:eastAsia="Manrope" w:cs="Manrope"/>
      <w:b/>
      <w:bCs/>
      <w:i/>
      <w:iCs/>
      <w:color w:val="0B253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Manrope" w:hAnsi="Manrope" w:eastAsia="Manrope" w:cs="Manrope"/>
      <w:color w:val="0B2536"/>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Manrope" w:hAnsi="Manrope" w:eastAsia="Manrope" w:cs="Manrope"/>
      <w:i/>
      <w:iCs/>
      <w:color w:val="0B2536"/>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Manrope" w:hAnsi="Manrope" w:eastAsia="Manrope" w:cs="Manrope"/>
      <w:i/>
      <w:iCs/>
      <w:color w:val="0B2536"/>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Manrope" w:hAnsi="Manrope" w:eastAsia="Manrope" w:cs="Manrope"/>
      <w:color w:val="0B2536"/>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Manrope" w:hAnsi="Manrope" w:eastAsia="Manrope" w:cs="Manrope"/>
      <w:i/>
      <w:iCs/>
      <w:color w:val="0B253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Manrope" w:hAnsi="Manrope" w:eastAsia="Manrope" w:cs="Manrope"/>
      <w:color w:val="0B2536"/>
    </w:rPr>
  </w:style>
  <w:style w:type="character" w:customStyle="1" w:styleId="Heading1Char">
    <w:name w:val="Heading 1 Char"/>
    <w:basedOn w:val="DefaultParagraphFont"/>
    <w:link w:val="Heading1"/>
    <w:uiPriority w:val="9"/>
    <w:rsid w:val="00FC693F"/>
    <w:rPr>
      <w:rFonts w:ascii="Manrope" w:hAnsi="Manrope" w:eastAsia="Manrope" w:cs="Manrope"/>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Manrope" w:hAnsi="Manrope" w:eastAsia="Manrope" w:cs="Manrope"/>
      <w:b/>
      <w:bCs/>
      <w:color w:val="4F81BD" w:themeColor="accent1"/>
      <w:sz w:val="26"/>
      <w:szCs w:val="26"/>
    </w:rPr>
  </w:style>
  <w:style w:type="character" w:customStyle="1" w:styleId="Heading3Char">
    <w:name w:val="Heading 3 Char"/>
    <w:basedOn w:val="DefaultParagraphFont"/>
    <w:link w:val="Heading3"/>
    <w:uiPriority w:val="9"/>
    <w:rsid w:val="00FC693F"/>
    <w:rPr>
      <w:rFonts w:ascii="Manrope" w:hAnsi="Manrope" w:eastAsia="Manrope" w:cs="Manrope"/>
      <w:b/>
      <w:bCs/>
      <w:color w:val="4F81BD" w:themeColor="accent1"/>
    </w:rPr>
  </w:style>
  <w:style w:type="paragraph" w:styleId="Title">
    <w:name w:val="Title"/>
    <w:basedOn w:val="Normal"/>
    <w:next w:val="Normal"/>
    <w:link w:val="TitleChar"/>
    <w:uiPriority w:val="10"/>
    <w:qFormat/>
    <w:rsid w:val="00FC693F"/>
    <w:pPr>
      <w:spacing w:after="240" w:line="245" w:lineRule="auto"/>
      <w:contextualSpacing/>
    </w:pPr>
    <w:rPr>
      <w:rFonts w:ascii="Manrope" w:hAnsi="Manrope" w:eastAsia="Manrope" w:cs="Manrope"/>
      <w:b/>
      <w:color w:val="0B2536"/>
      <w:spacing w:val="5"/>
      <w:kern w:val="28"/>
      <w:sz w:val="50"/>
      <w:szCs w:val="52"/>
    </w:rPr>
  </w:style>
  <w:style w:type="character" w:customStyle="1" w:styleId="TitleChar">
    <w:name w:val="Title Char"/>
    <w:basedOn w:val="DefaultParagraphFont"/>
    <w:link w:val="Title"/>
    <w:uiPriority w:val="10"/>
    <w:rsid w:val="00FC693F"/>
    <w:rPr>
      <w:rFonts w:ascii="Manrope" w:hAnsi="Manrope" w:eastAsia="Manrope" w:cs="Manrope"/>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Manrope" w:hAnsi="Manrope" w:eastAsia="Manrope" w:cs="Manrope"/>
      <w:i/>
      <w:iCs/>
      <w:color w:val="0B2536"/>
      <w:spacing w:val="15"/>
      <w:sz w:val="22"/>
      <w:szCs w:val="24"/>
    </w:rPr>
  </w:style>
  <w:style w:type="character" w:customStyle="1" w:styleId="SubtitleChar">
    <w:name w:val="Subtitle Char"/>
    <w:basedOn w:val="DefaultParagraphFont"/>
    <w:link w:val="Subtitle"/>
    <w:uiPriority w:val="11"/>
    <w:rsid w:val="00FC693F"/>
    <w:rPr>
      <w:rFonts w:ascii="Manrope" w:hAnsi="Manrope" w:eastAsia="Manrope" w:cs="Manrope"/>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Manrope" w:hAnsi="Manrope" w:eastAsia="Manrope" w:cs="Manrope"/>
      <w:color w:val="0B2536"/>
    </w:rPr>
  </w:style>
  <w:style w:type="paragraph" w:styleId="BodyText">
    <w:name w:val="Body Text"/>
    <w:basedOn w:val="Normal"/>
    <w:link w:val="BodyTextChar"/>
    <w:uiPriority w:val="99"/>
    <w:unhideWhenUsed/>
    <w:rsid w:val="00AA1D8D"/>
    <w:pPr>
      <w:spacing w:after="120"/>
    </w:pPr>
    <w:rPr>
      <w:rFonts w:ascii="Manrope" w:hAnsi="Manrope" w:eastAsia="Manrope" w:cs="Manrope"/>
      <w:color w:val="0B2536"/>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Manrope" w:hAnsi="Manrope" w:eastAsia="Manrope" w:cs="Manrope"/>
      <w:color w:val="0B2536"/>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Manrope" w:hAnsi="Manrope" w:eastAsia="Manrope" w:cs="Manrope"/>
      <w:color w:val="0B2536"/>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Manrope" w:hAnsi="Manrope" w:eastAsia="Manrope" w:cs="Manrope"/>
      <w:color w:val="0B2536"/>
    </w:rPr>
  </w:style>
  <w:style w:type="paragraph" w:styleId="List2">
    <w:name w:val="List 2"/>
    <w:basedOn w:val="Normal"/>
    <w:uiPriority w:val="99"/>
    <w:unhideWhenUsed/>
    <w:rsid w:val="00326F90"/>
    <w:pPr>
      <w:ind w:left="720" w:hanging="360"/>
      <w:contextualSpacing/>
    </w:pPr>
    <w:rPr>
      <w:rFonts w:ascii="Manrope" w:hAnsi="Manrope" w:eastAsia="Manrope" w:cs="Manrope"/>
      <w:color w:val="0B2536"/>
    </w:rPr>
  </w:style>
  <w:style w:type="paragraph" w:styleId="List3">
    <w:name w:val="List 3"/>
    <w:basedOn w:val="Normal"/>
    <w:uiPriority w:val="99"/>
    <w:unhideWhenUsed/>
    <w:rsid w:val="00326F90"/>
    <w:pPr>
      <w:ind w:left="1080" w:hanging="360"/>
      <w:contextualSpacing/>
    </w:pPr>
    <w:rPr>
      <w:rFonts w:ascii="Manrope" w:hAnsi="Manrope" w:eastAsia="Manrope" w:cs="Manrope"/>
      <w:color w:val="0B2536"/>
    </w:rPr>
  </w:style>
  <w:style w:type="paragraph" w:styleId="ListBullet">
    <w:name w:val="List Bullet"/>
    <w:basedOn w:val="Normal"/>
    <w:uiPriority w:val="99"/>
    <w:unhideWhenUsed/>
    <w:rsid w:val="00326F90"/>
    <w:pPr>
      <w:numPr>
        <w:numId w:val="1"/>
      </w:numPr>
      <w:spacing w:after="80" w:line="257" w:lineRule="auto"/>
      <w:contextualSpacing/>
    </w:pPr>
    <w:rPr>
      <w:rFonts w:ascii="Manrope" w:hAnsi="Manrope" w:eastAsia="Manrope" w:cs="Manrope"/>
      <w:color w:val="0B2536"/>
    </w:rPr>
  </w:style>
  <w:style w:type="paragraph" w:styleId="ListBullet2">
    <w:name w:val="List Bullet 2"/>
    <w:basedOn w:val="Normal"/>
    <w:uiPriority w:val="99"/>
    <w:unhideWhenUsed/>
    <w:rsid w:val="00326F90"/>
    <w:pPr>
      <w:numPr>
        <w:numId w:val="2"/>
      </w:numPr>
      <w:contextualSpacing/>
    </w:pPr>
    <w:rPr>
      <w:rFonts w:ascii="Manrope" w:hAnsi="Manrope" w:eastAsia="Manrope" w:cs="Manrope"/>
      <w:color w:val="0B2536"/>
    </w:rPr>
  </w:style>
  <w:style w:type="paragraph" w:styleId="ListBullet3">
    <w:name w:val="List Bullet 3"/>
    <w:basedOn w:val="Normal"/>
    <w:uiPriority w:val="99"/>
    <w:unhideWhenUsed/>
    <w:rsid w:val="00326F90"/>
    <w:pPr>
      <w:numPr>
        <w:numId w:val="3"/>
      </w:numPr>
      <w:contextualSpacing/>
    </w:pPr>
    <w:rPr>
      <w:rFonts w:ascii="Manrope" w:hAnsi="Manrope" w:eastAsia="Manrope" w:cs="Manrope"/>
      <w:color w:val="0B2536"/>
    </w:rPr>
  </w:style>
  <w:style w:type="paragraph" w:styleId="ListNumber">
    <w:name w:val="List Number"/>
    <w:basedOn w:val="Normal"/>
    <w:uiPriority w:val="99"/>
    <w:unhideWhenUsed/>
    <w:rsid w:val="00326F90"/>
    <w:pPr>
      <w:numPr>
        <w:numId w:val="5"/>
      </w:numPr>
      <w:contextualSpacing/>
    </w:pPr>
    <w:rPr>
      <w:rFonts w:ascii="Manrope" w:hAnsi="Manrope" w:eastAsia="Manrope" w:cs="Manrope"/>
      <w:color w:val="0B2536"/>
    </w:rPr>
  </w:style>
  <w:style w:type="paragraph" w:styleId="ListNumber2">
    <w:name w:val="List Number 2"/>
    <w:basedOn w:val="Normal"/>
    <w:uiPriority w:val="99"/>
    <w:unhideWhenUsed/>
    <w:rsid w:val="0029639D"/>
    <w:pPr>
      <w:numPr>
        <w:numId w:val="6"/>
      </w:numPr>
      <w:contextualSpacing/>
    </w:pPr>
    <w:rPr>
      <w:rFonts w:ascii="Manrope" w:hAnsi="Manrope" w:eastAsia="Manrope" w:cs="Manrope"/>
      <w:color w:val="0B2536"/>
    </w:rPr>
  </w:style>
  <w:style w:type="paragraph" w:styleId="ListNumber3">
    <w:name w:val="List Number 3"/>
    <w:basedOn w:val="Normal"/>
    <w:uiPriority w:val="99"/>
    <w:unhideWhenUsed/>
    <w:rsid w:val="0029639D"/>
    <w:pPr>
      <w:numPr>
        <w:numId w:val="7"/>
      </w:numPr>
      <w:contextualSpacing/>
    </w:pPr>
    <w:rPr>
      <w:rFonts w:ascii="Manrope" w:hAnsi="Manrope" w:eastAsia="Manrope" w:cs="Manrope"/>
      <w:color w:val="0B2536"/>
    </w:rPr>
  </w:style>
  <w:style w:type="paragraph" w:styleId="ListContinue">
    <w:name w:val="List Continue"/>
    <w:basedOn w:val="Normal"/>
    <w:uiPriority w:val="99"/>
    <w:unhideWhenUsed/>
    <w:rsid w:val="0029639D"/>
    <w:pPr>
      <w:spacing w:after="120"/>
      <w:ind w:left="360"/>
      <w:contextualSpacing/>
    </w:pPr>
    <w:rPr>
      <w:rFonts w:ascii="Manrope" w:hAnsi="Manrope" w:eastAsia="Manrope" w:cs="Manrope"/>
      <w:color w:val="0B2536"/>
    </w:rPr>
  </w:style>
  <w:style w:type="paragraph" w:styleId="ListContinue2">
    <w:name w:val="List Continue 2"/>
    <w:basedOn w:val="Normal"/>
    <w:uiPriority w:val="99"/>
    <w:unhideWhenUsed/>
    <w:rsid w:val="0029639D"/>
    <w:pPr>
      <w:spacing w:after="120"/>
      <w:ind w:left="720"/>
      <w:contextualSpacing/>
    </w:pPr>
    <w:rPr>
      <w:rFonts w:ascii="Manrope" w:hAnsi="Manrope" w:eastAsia="Manrope" w:cs="Manrope"/>
      <w:color w:val="0B2536"/>
    </w:rPr>
  </w:style>
  <w:style w:type="paragraph" w:styleId="ListContinue3">
    <w:name w:val="List Continue 3"/>
    <w:basedOn w:val="Normal"/>
    <w:uiPriority w:val="99"/>
    <w:unhideWhenUsed/>
    <w:rsid w:val="0029639D"/>
    <w:pPr>
      <w:spacing w:after="120"/>
      <w:ind w:left="1080"/>
      <w:contextualSpacing/>
    </w:pPr>
    <w:rPr>
      <w:rFonts w:ascii="Manrope" w:hAnsi="Manrope" w:eastAsia="Manrope" w:cs="Manrope"/>
      <w:color w:val="0B2536"/>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Manrope" w:hAnsi="Manrope" w:eastAsia="Manrope" w:cs="Manrope"/>
      <w:color w:val="0B2536"/>
      <w:sz w:val="20"/>
      <w:szCs w:val="20"/>
    </w:rPr>
  </w:style>
  <w:style w:type="character" w:customStyle="1" w:styleId="MacroTextChar">
    <w:name w:val="Macro Text Char"/>
    <w:basedOn w:val="DefaultParagraphFont"/>
    <w:link w:val="MacroText"/>
    <w:uiPriority w:val="99"/>
    <w:rsid w:val="0029639D"/>
    <w:rPr>
      <w:rFonts w:ascii="Manrope" w:hAnsi="Manrope" w:eastAsia="Manrope" w:cs="Manrope"/>
      <w:sz w:val="20"/>
      <w:szCs w:val="20"/>
    </w:rPr>
  </w:style>
  <w:style w:type="paragraph" w:styleId="Quote">
    <w:name w:val="Quote"/>
    <w:basedOn w:val="Normal"/>
    <w:next w:val="Normal"/>
    <w:link w:val="QuoteChar"/>
    <w:uiPriority w:val="29"/>
    <w:qFormat/>
    <w:rsid w:val="00FC693F"/>
    <w:rPr>
      <w:rFonts w:ascii="Manrope" w:hAnsi="Manrope" w:eastAsia="Manrope" w:cs="Manrope"/>
      <w:i/>
      <w:iCs/>
      <w:color w:val="0B2536"/>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Manrope" w:hAnsi="Manrope" w:eastAsia="Manrope" w:cs="Manrope"/>
      <w:b/>
      <w:bCs/>
      <w:i/>
      <w:iCs/>
      <w:color w:val="4F81BD" w:themeColor="accent1"/>
    </w:rPr>
  </w:style>
  <w:style w:type="character" w:customStyle="1" w:styleId="Heading5Char">
    <w:name w:val="Heading 5 Char"/>
    <w:basedOn w:val="DefaultParagraphFont"/>
    <w:link w:val="Heading5"/>
    <w:uiPriority w:val="9"/>
    <w:semiHidden/>
    <w:rsid w:val="00FC693F"/>
    <w:rPr>
      <w:rFonts w:ascii="Manrope" w:hAnsi="Manrope" w:eastAsia="Manrope" w:cs="Manrope"/>
      <w:color w:val="243F60" w:themeColor="accent1" w:themeShade="7F"/>
    </w:rPr>
  </w:style>
  <w:style w:type="character" w:customStyle="1" w:styleId="Heading6Char">
    <w:name w:val="Heading 6 Char"/>
    <w:basedOn w:val="DefaultParagraphFont"/>
    <w:link w:val="Heading6"/>
    <w:uiPriority w:val="9"/>
    <w:semiHidden/>
    <w:rsid w:val="00FC693F"/>
    <w:rPr>
      <w:rFonts w:ascii="Manrope" w:hAnsi="Manrope" w:eastAsia="Manrope" w:cs="Manrope"/>
      <w:i/>
      <w:iCs/>
      <w:color w:val="243F60" w:themeColor="accent1" w:themeShade="7F"/>
    </w:rPr>
  </w:style>
  <w:style w:type="character" w:customStyle="1" w:styleId="Heading7Char">
    <w:name w:val="Heading 7 Char"/>
    <w:basedOn w:val="DefaultParagraphFont"/>
    <w:link w:val="Heading7"/>
    <w:uiPriority w:val="9"/>
    <w:semiHidden/>
    <w:rsid w:val="00FC693F"/>
    <w:rPr>
      <w:rFonts w:ascii="Manrope" w:hAnsi="Manrope" w:eastAsia="Manrope" w:cs="Manrope"/>
      <w:i/>
      <w:iCs/>
      <w:color w:val="404040" w:themeColor="text1" w:themeTint="BF"/>
    </w:rPr>
  </w:style>
  <w:style w:type="character" w:customStyle="1" w:styleId="Heading8Char">
    <w:name w:val="Heading 8 Char"/>
    <w:basedOn w:val="DefaultParagraphFont"/>
    <w:link w:val="Heading8"/>
    <w:uiPriority w:val="9"/>
    <w:semiHidden/>
    <w:rsid w:val="00FC693F"/>
    <w:rPr>
      <w:rFonts w:ascii="Manrope" w:hAnsi="Manrope" w:eastAsia="Manrope" w:cs="Manrope"/>
      <w:color w:val="4F81BD" w:themeColor="accent1"/>
      <w:sz w:val="20"/>
      <w:szCs w:val="20"/>
    </w:rPr>
  </w:style>
  <w:style w:type="character" w:customStyle="1" w:styleId="Heading9Char">
    <w:name w:val="Heading 9 Char"/>
    <w:basedOn w:val="DefaultParagraphFont"/>
    <w:link w:val="Heading9"/>
    <w:uiPriority w:val="9"/>
    <w:semiHidden/>
    <w:rsid w:val="00FC693F"/>
    <w:rPr>
      <w:rFonts w:ascii="Manrope" w:hAnsi="Manrope" w:eastAsia="Manrope" w:cs="Manrope"/>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anrope" w:hAnsi="Manrope" w:eastAsia="Manrope" w:cs="Manrope"/>
      <w:b/>
      <w:bCs/>
      <w:color w:val="0B253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Manrope" w:hAnsi="Manrope" w:eastAsia="Manrope" w:cs="Manrope"/>
      <w:b/>
      <w:bCs/>
      <w:i/>
      <w:iCs/>
      <w:color w:val="0B2536"/>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Manrope" w:hAnsi="Manrope" w:eastAsia="Manrope" w:cs="Manrope"/>
      <w:color w:val="0B2536"/>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Manrope" w:hAnsi="Manrope" w:eastAsia="Manrope" w:cs="Manrope"/>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Manrope" w:hAnsi="Manrope" w:eastAsia="Manrope" w:cs="Manrope"/>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Manrope" w:hAnsi="Manrope" w:eastAsia="Manrope" w:cs="Manrope"/>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Manrope" w:hAnsi="Manrope" w:eastAsia="Manrope" w:cs="Manrope"/>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Manrope" w:hAnsi="Manrope" w:eastAsia="Manrope" w:cs="Manrope"/>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Manrope" w:hAnsi="Manrope" w:eastAsia="Manrope" w:cs="Manrope"/>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Manrope" w:hAnsi="Manrope" w:eastAsia="Manrope" w:cs="Manrope"/>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BrandFont0" Type="http://schemas.openxmlformats.org/officeDocument/2006/relationships/font" Target="fonts/manrope-0.odttf"/><Relationship Id="rIdBrandFont1" Type="http://schemas.openxmlformats.org/officeDocument/2006/relationships/font" Target="fonts/manrope-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CPR VR International Packages and Pricing</dc:title>
  <dc:subject>Proposed EUR packages for international business and institutional customers</dc:subject>
  <dc:creator>Future Meditech Zrt.</dc:creator>
  <cp:keywords/>
  <dc:description>generated by python-docx</dc:description>
  <cp:lastModifiedBy/>
  <cp:revision>1</cp:revision>
  <dcterms:created xsi:type="dcterms:W3CDTF">2013-12-23T23:15:00Z</dcterms:created>
  <dcterms:modified xsi:type="dcterms:W3CDTF">2013-12-23T23:15:00Z</dcterms:modified>
  <cp:category/>
</cp:coreProperties>
</file>