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CPR VR Internationale Preisliste</w:t>
      </w:r>
    </w:p>
    <w:p>
      <w:r>
        <w:t>Basispreise für den EU-Markt • 24. September 2026</w:t>
      </w:r>
    </w:p>
    <w:p>
      <w:r>
        <w:t>CPR VR verbindet Übungen an einer physischen Reanimationspuppe mit einer virtuellen Umgebung und Echtzeit-Feedback zu Thoraxkompressionen. Wählen Sie einen von uns geleiteten Workshop oder eine eigene institutionelle Trainingsstation.</w:t>
      </w:r>
    </w:p>
    <w:p>
      <w:r>
        <w:t>Alle Beträge in EUR, zuzüglich Umsatzsteuer und gegebenenfalls anfallender Steuern im Zielland. Für Leistungen in Ungarn erstellen wir ein separates Inlandsangebot.</w:t>
      </w:r>
    </w:p>
    <w:tbl>
      <w:tblPr>
        <w:tblW w:type="auto" w:w="0"/>
        <w:tblLayout w:type="autofit"/>
        <w:tblLook w:firstColumn="1" w:firstRow="1" w:lastColumn="0" w:lastRow="0" w:noHBand="0" w:noVBand="1" w:val="04A0"/>
      </w:tblPr>
      <w:tblGrid>
        <w:gridCol w:w="3400"/>
        <w:gridCol w:w="3400"/>
        <w:gridCol w:w="3400"/>
      </w:tblGrid>
      <w:tr>
        <w:trPr>
          <w:cantSplit/>
        </w:trPr>
        <w:tc>
          <w:tcPr>
            <w:tcW w:type="dxa" w:w="3400"/>
            <w:shd w:fill="C6F169"/>
          </w:tcPr>
          <w:p>
            <w:pPr>
              <w:spacing w:after="120" w:before="100"/>
            </w:pPr>
            <w:r>
              <w:rPr>
                <w:b/>
                <w:sz w:val="18"/>
              </w:rPr>
              <w:t>Paket</w:t>
            </w:r>
          </w:p>
        </w:tc>
        <w:tc>
          <w:tcPr>
            <w:tcW w:type="dxa" w:w="3400"/>
            <w:shd w:fill="C6F169"/>
          </w:tcPr>
          <w:p>
            <w:pPr>
              <w:spacing w:after="120" w:before="100"/>
            </w:pPr>
            <w:r>
              <w:rPr>
                <w:b/>
                <w:sz w:val="18"/>
              </w:rPr>
              <w:t>Leistungsumfang</w:t>
            </w:r>
          </w:p>
        </w:tc>
        <w:tc>
          <w:tcPr>
            <w:tcW w:type="dxa" w:w="3400"/>
            <w:shd w:fill="C6F169"/>
          </w:tcPr>
          <w:p>
            <w:pPr>
              <w:spacing w:after="120" w:before="100"/>
            </w:pPr>
            <w:r>
              <w:rPr>
                <w:b/>
                <w:sz w:val="18"/>
              </w:rPr>
              <w:t>Nettopreis</w:t>
            </w:r>
          </w:p>
        </w:tc>
      </w:tr>
      <w:tr>
        <w:trPr>
          <w:cantSplit/>
        </w:trPr>
        <w:tc>
          <w:tcPr>
            <w:tcW w:type="dxa" w:w="3400"/>
            <w:shd w:fill="F0F4F3"/>
          </w:tcPr>
          <w:p>
            <w:pPr>
              <w:spacing w:after="120" w:before="100"/>
            </w:pPr>
            <w:r>
              <w:rPr>
                <w:b w:val="0"/>
                <w:sz w:val="18"/>
              </w:rPr>
              <w:t>CPR Workshop</w:t>
            </w:r>
          </w:p>
        </w:tc>
        <w:tc>
          <w:tcPr>
            <w:tcW w:type="dxa" w:w="3400"/>
            <w:shd w:fill="F0F4F3"/>
          </w:tcPr>
          <w:p>
            <w:pPr>
              <w:spacing w:after="120" w:before="100"/>
            </w:pPr>
            <w:r>
              <w:rPr>
                <w:b w:val="0"/>
                <w:sz w:val="18"/>
              </w:rPr>
              <w:t>4 Stunden, bis 15 Personen, Team aus 2 Fachkräften</w:t>
            </w:r>
          </w:p>
        </w:tc>
        <w:tc>
          <w:tcPr>
            <w:tcW w:type="dxa" w:w="3400"/>
            <w:shd w:fill="F0F4F3"/>
          </w:tcPr>
          <w:p>
            <w:pPr>
              <w:spacing w:after="120" w:before="100"/>
            </w:pPr>
            <w:r>
              <w:rPr>
                <w:b w:val="0"/>
                <w:sz w:val="18"/>
              </w:rPr>
              <w:t>1 490 EUR + Reise</w:t>
            </w:r>
          </w:p>
        </w:tc>
      </w:tr>
      <w:tr>
        <w:trPr>
          <w:cantSplit/>
        </w:trPr>
        <w:tc>
          <w:tcPr>
            <w:tcW w:type="dxa" w:w="3400"/>
            <w:shd w:fill="FFFFFF"/>
          </w:tcPr>
          <w:p>
            <w:pPr>
              <w:spacing w:after="120" w:before="100"/>
            </w:pPr>
            <w:r>
              <w:rPr>
                <w:b w:val="0"/>
                <w:sz w:val="18"/>
              </w:rPr>
              <w:t>CPR Annual Programme</w:t>
            </w:r>
          </w:p>
        </w:tc>
        <w:tc>
          <w:tcPr>
            <w:tcW w:type="dxa" w:w="3400"/>
            <w:shd w:fill="FFFFFF"/>
          </w:tcPr>
          <w:p>
            <w:pPr>
              <w:spacing w:after="120" w:before="100"/>
            </w:pPr>
            <w:r>
              <w:rPr>
                <w:b w:val="0"/>
                <w:sz w:val="18"/>
              </w:rPr>
              <w:t>4 Workshops in 12 Monaten, insgesamt bis 60 Teilnahmeplätze</w:t>
            </w:r>
          </w:p>
        </w:tc>
        <w:tc>
          <w:tcPr>
            <w:tcW w:type="dxa" w:w="3400"/>
            <w:shd w:fill="FFFFFF"/>
          </w:tcPr>
          <w:p>
            <w:pPr>
              <w:spacing w:after="120" w:before="100"/>
            </w:pPr>
            <w:r>
              <w:rPr>
                <w:b w:val="0"/>
                <w:sz w:val="18"/>
              </w:rPr>
              <w:t>4 990 EUR + 4 Reisen</w:t>
            </w:r>
          </w:p>
        </w:tc>
      </w:tr>
      <w:tr>
        <w:trPr>
          <w:cantSplit/>
        </w:trPr>
        <w:tc>
          <w:tcPr>
            <w:tcW w:type="dxa" w:w="3400"/>
            <w:shd w:fill="F0F4F3"/>
          </w:tcPr>
          <w:p>
            <w:pPr>
              <w:spacing w:after="120" w:before="100"/>
            </w:pPr>
            <w:r>
              <w:rPr>
                <w:b w:val="0"/>
                <w:sz w:val="18"/>
              </w:rPr>
              <w:t>CPR Institutional Licence</w:t>
            </w:r>
          </w:p>
        </w:tc>
        <w:tc>
          <w:tcPr>
            <w:tcW w:type="dxa" w:w="3400"/>
            <w:shd w:fill="F0F4F3"/>
          </w:tcPr>
          <w:p>
            <w:pPr>
              <w:spacing w:after="120" w:before="100"/>
            </w:pPr>
            <w:r>
              <w:rPr>
                <w:b w:val="0"/>
                <w:sz w:val="18"/>
              </w:rPr>
              <w:t>Eigene kompatible Hardware, 12 Monate Lizenz und Ferneinrichtung</w:t>
            </w:r>
          </w:p>
        </w:tc>
        <w:tc>
          <w:tcPr>
            <w:tcW w:type="dxa" w:w="3400"/>
            <w:shd w:fill="F0F4F3"/>
          </w:tcPr>
          <w:p>
            <w:pPr>
              <w:spacing w:after="120" w:before="100"/>
            </w:pPr>
            <w:r>
              <w:rPr>
                <w:b w:val="0"/>
                <w:sz w:val="18"/>
              </w:rPr>
              <w:t>1 580 EUR / erstes Jahr</w:t>
            </w:r>
          </w:p>
        </w:tc>
      </w:tr>
      <w:tr>
        <w:trPr>
          <w:cantSplit/>
        </w:trPr>
        <w:tc>
          <w:tcPr>
            <w:tcW w:type="dxa" w:w="3400"/>
            <w:shd w:fill="FFFFFF"/>
          </w:tcPr>
          <w:p>
            <w:pPr>
              <w:spacing w:after="120" w:before="100"/>
            </w:pPr>
            <w:r>
              <w:rPr>
                <w:b w:val="0"/>
                <w:sz w:val="18"/>
              </w:rPr>
              <w:t>CPR Complete Station</w:t>
            </w:r>
          </w:p>
        </w:tc>
        <w:tc>
          <w:tcPr>
            <w:tcW w:type="dxa" w:w="3400"/>
            <w:shd w:fill="FFFFFF"/>
          </w:tcPr>
          <w:p>
            <w:pPr>
              <w:spacing w:after="120" w:before="100"/>
            </w:pPr>
            <w:r>
              <w:rPr>
                <w:b w:val="0"/>
                <w:sz w:val="18"/>
              </w:rPr>
              <w:t>Hardware zum Eigentumserwerb, Lizenz, EU-Versand und Ferneinrichtung</w:t>
            </w:r>
          </w:p>
        </w:tc>
        <w:tc>
          <w:tcPr>
            <w:tcW w:type="dxa" w:w="3400"/>
            <w:shd w:fill="FFFFFF"/>
          </w:tcPr>
          <w:p>
            <w:pPr>
              <w:spacing w:after="120" w:before="100"/>
            </w:pPr>
            <w:r>
              <w:rPr>
                <w:b w:val="0"/>
                <w:sz w:val="18"/>
              </w:rPr>
              <w:t>5 990 EUR / erstes Jahr</w:t>
            </w:r>
          </w:p>
        </w:tc>
      </w:tr>
    </w:tbl>
    <w:p>
      <w:pPr>
        <w:pStyle w:val="Heading2"/>
      </w:pPr>
      <w:r>
        <w:t>Paketauswahl und Sprache</w:t>
      </w:r>
    </w:p>
    <w:p>
      <w:r>
        <w:t>Workshop und Annual Programme eignen sich für organisierte Schulungen. Die Institutional Licence richtet sich an Einrichtungen mit kompatibler Hardware und eigenen Lehrkräften; die Complete Station enthält auch die Hardware. Beide institutionellen Pakete gelten für eine juristische Person, einen Standort und eine benannte Station mit jeweils einer lernenden Person. Für eigene Mitarbeitende und Studierende fällt keine gesonderte Lizenzgebühr pro Person an.</w:t>
      </w:r>
    </w:p>
    <w:p>
      <w:r>
        <w:t>Internationale Durchführung, Einführung, Bedienungsunterlagen und Support erfolgen auf Englisch. Sprache und Version der Anwendung werden im Angebot festgelegt und vor Annahme der Bestellung demonstriert. Weitere Lokalisierungen sind gesonderte Leistungen. Diese deutsche Preisliste begründet keinen deutschsprachigen Support.</w:t>
      </w:r>
    </w:p>
    <w:p>
      <w:r>
        <w:br w:type="page"/>
      </w:r>
    </w:p>
    <w:p>
      <w:pPr>
        <w:pStyle w:val="Heading1"/>
      </w:pPr>
      <w:r>
        <w:t>Institutionelle Pakete</w:t>
      </w:r>
    </w:p>
    <w:p>
      <w:pPr>
        <w:pStyle w:val="Heading2"/>
      </w:pPr>
      <w:r>
        <w:t>CPR Institutional Licence • 1 580 EUR</w:t>
      </w:r>
    </w:p>
    <w:p>
      <w:r>
        <w:t>Die ersten 12 Monate umfassen 1 190 EUR Jahreslizenz und 390 EUR einmalige Ferneinrichtung und Einführung. Verlängerung: 1 190 EUR pro Jahr. Die kundeneigene Hardware wird vor Bestellannahme auf Kompatibilität geprüft und freigegeben.</w:t>
      </w:r>
    </w:p>
    <w:p>
      <w:r>
        <w:t>Eine Lizenz für die bestehende CPR-Anwendung an einer benannten Station und einem Standort, mit den in der Produktbroschüre beschriebenen Trainingsmodi für Laien und Fachpersonal.</w:t>
      </w:r>
    </w:p>
    <w:p>
      <w:r>
        <w:t>Remote-Installation und Inbetriebnahme, anschließend zwei Online-Einführungen von jeweils 2 Stunden für bis zu 4 interne Lehrkräfte. Englisches Bedienungshandbuch und Betriebscheckliste.</w:t>
      </w:r>
    </w:p>
    <w:p>
      <w:r>
        <w:t>Veröffentlichte Produktupdates und Fehlerbehebungen sowie 6 Stunden Remote-Anwenderberatung innerhalb der 12 Monate.</w:t>
      </w:r>
    </w:p>
    <w:p>
      <w:r>
        <w:t>Das freigegebene VR-Headset, die integrierte CPR-Puppe, erforderliche Laufzeithardware und Zubehör stellt der Kunde. Hardwarekauf, Ersatzgeräte und individuelle Kompatibilitätsentwicklung sind nicht enthalten.</w:t>
      </w:r>
    </w:p>
    <w:p>
      <w:pPr>
        <w:pStyle w:val="Heading2"/>
      </w:pPr>
      <w:r>
        <w:t>CPR Complete Station • 5 990 EUR</w:t>
      </w:r>
    </w:p>
    <w:p>
      <w:r>
        <w:t>Enthält für die ersten 12 Monate die oben beschriebene Lizenz, Remote-Inbetriebnahme und Einführung sowie ein vorkonfiguriertes Hardwarepaket. Softwareverlängerung: 1 190 EUR pro Jahr.</w:t>
      </w:r>
    </w:p>
    <w:p>
      <w:r>
        <w:t>Enthalten sind ein kompatibles VR-Headset, eine integrierte physische CPR-Puppe mit Komponenten für Kompressionsfeedback sowie alle erforderlichen Controller, Kabel, Ladegeräte und Laufzeitgeräte. Benötigt die gewählte Konfiguration einen Computer, ist dieser im Preis enthalten. Transportkoffer, Hygiene-Starterset, versicherter Standardversand an eine EU-Geschäftsadresse und begleitete Remote-Inbetriebnahme sind ebenfalls enthalten.</w:t>
      </w:r>
    </w:p>
    <w:p>
      <w:r>
        <w:t>Modelle und vollständige Ausstattung werden in der Bestellung festgehalten. Nach vollständiger Zahlung gehört die Hardware dem Kunden. Die Softwarelaufzeit beginnt mit erfolgreicher Inbetriebnahme. Nach 12 Monaten erfordert die weitere Softwarenutzung eine Verlängerung; das Eigentum an der Hardware bleibt unberührt.</w:t>
      </w:r>
    </w:p>
    <w:p>
      <w:r>
        <w:br w:type="page"/>
      </w:r>
    </w:p>
    <w:p>
      <w:pPr>
        <w:pStyle w:val="Heading1"/>
      </w:pPr>
      <w:r>
        <w:t>Workshops vor Ort und Reisekosten</w:t>
      </w:r>
    </w:p>
    <w:p>
      <w:pPr>
        <w:pStyle w:val="Heading2"/>
      </w:pPr>
      <w:r>
        <w:t>CPR Workshop • 1 490 EUR + Reise</w:t>
      </w:r>
    </w:p>
    <w:p>
      <w:r>
        <w:t>4 Stunden für bis zu 15 Personen: eine komplette CPR-VR-Station, eine zusätzliche konventionelle Übungspuppe, eine CPR-Lehrkraft und eine technische Betreuungsperson. Einführung und Übungen auf Englisch; pro Person 10 Minuten individuelles VR-Training einschließlich Feedback. Digitale Teilnahmebestätigung und ein einseitiger, von der Lehrkraft erstellter Gruppenbericht innerhalb von 5 Werktagen.</w:t>
      </w:r>
    </w:p>
    <w:p>
      <w:r>
        <w:t>Die 4 Stunden umfassen 30 Minuten Einführung, 150 Minuten Einzelübungen, 30 Minuten Wechsel und Hygiene sowie 30 Minuten Nachbesprechung und Pause. Konventionelles Üben ist parallel möglich. Aufbau, hygienische Vorbereitung und Abbau sind enthalten; Auf- und Abbau erfolgen außerhalb der Teilnahmezeit.</w:t>
      </w:r>
    </w:p>
    <w:p>
      <w:pPr>
        <w:pStyle w:val="Heading2"/>
      </w:pPr>
      <w:r>
        <w:t>CPR Annual Programme • 4 990 EUR + Reise</w:t>
      </w:r>
    </w:p>
    <w:p>
      <w:r>
        <w:t>4 vollständige Workshops innerhalb von 12 Monaten, jeweils bis zu 15 Personen. Die bis zu 60 Teilnahmeplätze können für verschiedene Gruppen oder Wiederholungstrainings derselben Mitarbeitenden genutzt werden. Ersparnis gegenüber vier Einzelbuchungen: 970 EUR bzw. 16,3% der Leistungsgebühr.</w:t>
      </w:r>
    </w:p>
    <w:tbl>
      <w:tblPr>
        <w:tblW w:type="auto" w:w="0"/>
        <w:tblLayout w:type="autofit"/>
        <w:tblLook w:firstColumn="1" w:firstRow="1" w:lastColumn="0" w:lastRow="0" w:noHBand="0" w:noVBand="1" w:val="04A0"/>
      </w:tblPr>
      <w:tblGrid>
        <w:gridCol w:w="2550"/>
        <w:gridCol w:w="2550"/>
        <w:gridCol w:w="2550"/>
        <w:gridCol w:w="2550"/>
      </w:tblGrid>
      <w:tr>
        <w:trPr>
          <w:cantSplit/>
        </w:trPr>
        <w:tc>
          <w:tcPr>
            <w:tcW w:type="dxa" w:w="2550"/>
            <w:shd w:fill="C6F169"/>
          </w:tcPr>
          <w:p>
            <w:pPr>
              <w:spacing w:after="120" w:before="100"/>
            </w:pPr>
            <w:r>
              <w:rPr>
                <w:b/>
                <w:sz w:val="18"/>
              </w:rPr>
              <w:t>Zielland</w:t>
            </w:r>
          </w:p>
        </w:tc>
        <w:tc>
          <w:tcPr>
            <w:tcW w:type="dxa" w:w="2550"/>
            <w:shd w:fill="C6F169"/>
          </w:tcPr>
          <w:p>
            <w:pPr>
              <w:spacing w:after="120" w:before="100"/>
            </w:pPr>
            <w:r>
              <w:rPr>
                <w:b/>
                <w:sz w:val="18"/>
              </w:rPr>
              <w:t>Reise¹</w:t>
            </w:r>
          </w:p>
        </w:tc>
        <w:tc>
          <w:tcPr>
            <w:tcW w:type="dxa" w:w="2550"/>
            <w:shd w:fill="C6F169"/>
          </w:tcPr>
          <w:p>
            <w:pPr>
              <w:spacing w:after="120" w:before="100"/>
            </w:pPr>
            <w:r>
              <w:rPr>
                <w:b/>
                <w:sz w:val="18"/>
              </w:rPr>
              <w:t>Workshop²</w:t>
            </w:r>
          </w:p>
        </w:tc>
        <w:tc>
          <w:tcPr>
            <w:tcW w:type="dxa" w:w="2550"/>
            <w:shd w:fill="C6F169"/>
          </w:tcPr>
          <w:p>
            <w:pPr>
              <w:spacing w:after="120" w:before="100"/>
            </w:pPr>
            <w:r>
              <w:rPr>
                <w:b/>
                <w:sz w:val="18"/>
              </w:rPr>
              <w:t>Jahr²</w:t>
            </w:r>
          </w:p>
        </w:tc>
      </w:tr>
      <w:tr>
        <w:trPr>
          <w:cantSplit/>
        </w:trPr>
        <w:tc>
          <w:tcPr>
            <w:tcW w:type="dxa" w:w="2550"/>
            <w:shd w:fill="F0F4F3"/>
          </w:tcPr>
          <w:p>
            <w:pPr>
              <w:spacing w:after="120" w:before="100"/>
            </w:pPr>
            <w:r>
              <w:rPr>
                <w:b w:val="0"/>
                <w:sz w:val="18"/>
              </w:rPr>
              <w:t>AT, SK, CZ, SI</w:t>
            </w:r>
          </w:p>
        </w:tc>
        <w:tc>
          <w:tcPr>
            <w:tcW w:type="dxa" w:w="2550"/>
            <w:shd w:fill="F0F4F3"/>
          </w:tcPr>
          <w:p>
            <w:pPr>
              <w:spacing w:after="120" w:before="100"/>
            </w:pPr>
            <w:r>
              <w:rPr>
                <w:b w:val="0"/>
                <w:sz w:val="18"/>
              </w:rPr>
              <w:t>490</w:t>
            </w:r>
          </w:p>
        </w:tc>
        <w:tc>
          <w:tcPr>
            <w:tcW w:type="dxa" w:w="2550"/>
            <w:shd w:fill="F0F4F3"/>
          </w:tcPr>
          <w:p>
            <w:pPr>
              <w:spacing w:after="120" w:before="100"/>
            </w:pPr>
            <w:r>
              <w:rPr>
                <w:b w:val="0"/>
                <w:sz w:val="18"/>
              </w:rPr>
              <w:t>1 980</w:t>
            </w:r>
          </w:p>
        </w:tc>
        <w:tc>
          <w:tcPr>
            <w:tcW w:type="dxa" w:w="2550"/>
            <w:shd w:fill="F0F4F3"/>
          </w:tcPr>
          <w:p>
            <w:pPr>
              <w:spacing w:after="120" w:before="100"/>
            </w:pPr>
            <w:r>
              <w:rPr>
                <w:b w:val="0"/>
                <w:sz w:val="18"/>
              </w:rPr>
              <w:t>6 950</w:t>
            </w:r>
          </w:p>
        </w:tc>
      </w:tr>
      <w:tr>
        <w:trPr>
          <w:cantSplit/>
        </w:trPr>
        <w:tc>
          <w:tcPr>
            <w:tcW w:type="dxa" w:w="2550"/>
            <w:shd w:fill="FFFFFF"/>
          </w:tcPr>
          <w:p>
            <w:pPr>
              <w:spacing w:after="120" w:before="100"/>
            </w:pPr>
            <w:r>
              <w:rPr>
                <w:b w:val="0"/>
                <w:sz w:val="18"/>
              </w:rPr>
              <w:t>DE, PL, HR, RO</w:t>
            </w:r>
          </w:p>
        </w:tc>
        <w:tc>
          <w:tcPr>
            <w:tcW w:type="dxa" w:w="2550"/>
            <w:shd w:fill="FFFFFF"/>
          </w:tcPr>
          <w:p>
            <w:pPr>
              <w:spacing w:after="120" w:before="100"/>
            </w:pPr>
            <w:r>
              <w:rPr>
                <w:b w:val="0"/>
                <w:sz w:val="18"/>
              </w:rPr>
              <w:t>790</w:t>
            </w:r>
          </w:p>
        </w:tc>
        <w:tc>
          <w:tcPr>
            <w:tcW w:type="dxa" w:w="2550"/>
            <w:shd w:fill="FFFFFF"/>
          </w:tcPr>
          <w:p>
            <w:pPr>
              <w:spacing w:after="120" w:before="100"/>
            </w:pPr>
            <w:r>
              <w:rPr>
                <w:b w:val="0"/>
                <w:sz w:val="18"/>
              </w:rPr>
              <w:t>2 280</w:t>
            </w:r>
          </w:p>
        </w:tc>
        <w:tc>
          <w:tcPr>
            <w:tcW w:type="dxa" w:w="2550"/>
            <w:shd w:fill="FFFFFF"/>
          </w:tcPr>
          <w:p>
            <w:pPr>
              <w:spacing w:after="120" w:before="100"/>
            </w:pPr>
            <w:r>
              <w:rPr>
                <w:b w:val="0"/>
                <w:sz w:val="18"/>
              </w:rPr>
              <w:t>8 150</w:t>
            </w:r>
          </w:p>
        </w:tc>
      </w:tr>
      <w:tr>
        <w:trPr>
          <w:cantSplit/>
        </w:trPr>
        <w:tc>
          <w:tcPr>
            <w:tcW w:type="dxa" w:w="2550"/>
            <w:shd w:fill="F0F4F3"/>
          </w:tcPr>
          <w:p>
            <w:pPr>
              <w:spacing w:after="120" w:before="100"/>
            </w:pPr>
            <w:r>
              <w:rPr>
                <w:b w:val="0"/>
                <w:sz w:val="18"/>
              </w:rPr>
              <w:t>Übrige EU außer HU</w:t>
            </w:r>
          </w:p>
        </w:tc>
        <w:tc>
          <w:tcPr>
            <w:tcW w:type="dxa" w:w="2550"/>
            <w:shd w:fill="F0F4F3"/>
          </w:tcPr>
          <w:p>
            <w:pPr>
              <w:spacing w:after="120" w:before="100"/>
            </w:pPr>
            <w:r>
              <w:rPr>
                <w:b w:val="0"/>
                <w:sz w:val="18"/>
              </w:rPr>
              <w:t>1 290</w:t>
            </w:r>
          </w:p>
        </w:tc>
        <w:tc>
          <w:tcPr>
            <w:tcW w:type="dxa" w:w="2550"/>
            <w:shd w:fill="F0F4F3"/>
          </w:tcPr>
          <w:p>
            <w:pPr>
              <w:spacing w:after="120" w:before="100"/>
            </w:pPr>
            <w:r>
              <w:rPr>
                <w:b w:val="0"/>
                <w:sz w:val="18"/>
              </w:rPr>
              <w:t>2 780</w:t>
            </w:r>
          </w:p>
        </w:tc>
        <w:tc>
          <w:tcPr>
            <w:tcW w:type="dxa" w:w="2550"/>
            <w:shd w:fill="F0F4F3"/>
          </w:tcPr>
          <w:p>
            <w:pPr>
              <w:spacing w:after="120" w:before="100"/>
            </w:pPr>
            <w:r>
              <w:rPr>
                <w:b w:val="0"/>
                <w:sz w:val="18"/>
              </w:rPr>
              <w:t>10 150</w:t>
            </w:r>
          </w:p>
        </w:tc>
      </w:tr>
    </w:tbl>
    <w:p>
      <w:r>
        <w:t>Alle Tabellenwerte netto in EUR. ¹ Pro Besuch. ² Einschließlich Reise; Jahressummen gelten für vier separate Besuche derselben Ländergruppe. Bei unterschiedlichen Zielen werden die vier jeweiligen Reisegebühren zu 4 990 EUR addiert.</w:t>
      </w:r>
    </w:p>
    <w:p>
      <w:r>
        <w:t>AT Österreich, SK Slowakei, CZ Tschechien, SI Slowenien; DE Deutschland, PL Polen, HR Kroatien, RO Rumänien.</w:t>
      </w:r>
    </w:p>
    <w:p>
      <w:r>
        <w:t>Die Pauschale deckt Hin- und Rückreise des Zweierteams, Gerätetransport, lokale Transfers und bis zu zwei Übernachtungen für einen Einsatztag ab, einschließlich Flug und Hotel. Voraussetzung: mindestens 30 Kalendertage Vorlauf und Veranstaltungsort maximal 60 km von einem internationalen Flughafen oder bedeutenden Fernbahnhof entfernt. Kürzere Vorlaufzeiten, zusätzliche Tage, Überseegebiete und abweichende Erreichbarkeit erhalten vor Buchung ein separates Festpreisangebot.</w:t>
      </w:r>
    </w:p>
    <w:p>
      <w:r>
        <w:br w:type="page"/>
      </w:r>
    </w:p>
    <w:p>
      <w:pPr>
        <w:pStyle w:val="Heading1"/>
      </w:pPr>
      <w:r>
        <w:t>Zusatzleistungen und Support</w:t>
      </w:r>
    </w:p>
    <w:tbl>
      <w:tblPr>
        <w:tblW w:type="auto" w:w="0"/>
        <w:tblLayout w:type="autofit"/>
        <w:tblLook w:firstColumn="1" w:firstRow="1" w:lastColumn="0" w:lastRow="0" w:noHBand="0" w:noVBand="1" w:val="04A0"/>
      </w:tblPr>
      <w:tblGrid>
        <w:gridCol w:w="5100"/>
        <w:gridCol w:w="5100"/>
      </w:tblGrid>
      <w:tr>
        <w:trPr>
          <w:cantSplit/>
        </w:trPr>
        <w:tc>
          <w:tcPr>
            <w:tcW w:type="dxa" w:w="5100"/>
            <w:shd w:fill="C6F169"/>
          </w:tcPr>
          <w:p>
            <w:pPr>
              <w:spacing w:after="120" w:before="100"/>
            </w:pPr>
            <w:r>
              <w:rPr>
                <w:b/>
                <w:sz w:val="18"/>
              </w:rPr>
              <w:t>Zusatzleistung</w:t>
            </w:r>
          </w:p>
        </w:tc>
        <w:tc>
          <w:tcPr>
            <w:tcW w:type="dxa" w:w="5100"/>
            <w:shd w:fill="C6F169"/>
          </w:tcPr>
          <w:p>
            <w:pPr>
              <w:spacing w:after="120" w:before="100"/>
            </w:pPr>
            <w:r>
              <w:rPr>
                <w:b/>
                <w:sz w:val="18"/>
              </w:rPr>
              <w:t>Nettopreis</w:t>
            </w:r>
          </w:p>
        </w:tc>
      </w:tr>
      <w:tr>
        <w:trPr>
          <w:cantSplit/>
        </w:trPr>
        <w:tc>
          <w:tcPr>
            <w:tcW w:type="dxa" w:w="5100"/>
            <w:shd w:fill="F0F4F3"/>
          </w:tcPr>
          <w:p>
            <w:pPr>
              <w:spacing w:after="120" w:before="100"/>
            </w:pPr>
            <w:r>
              <w:rPr>
                <w:b w:val="0"/>
                <w:sz w:val="18"/>
              </w:rPr>
              <w:t>Zweiter 4-Stunden-Workshop am selben Tag und Ort für bis zu 15 weitere Personen</w:t>
            </w:r>
          </w:p>
        </w:tc>
        <w:tc>
          <w:tcPr>
            <w:tcW w:type="dxa" w:w="5100"/>
            <w:shd w:fill="F0F4F3"/>
          </w:tcPr>
          <w:p>
            <w:pPr>
              <w:spacing w:after="120" w:before="100"/>
            </w:pPr>
            <w:r>
              <w:rPr>
                <w:b w:val="0"/>
                <w:sz w:val="18"/>
              </w:rPr>
              <w:t>990 EUR</w:t>
            </w:r>
          </w:p>
        </w:tc>
      </w:tr>
      <w:tr>
        <w:trPr>
          <w:cantSplit/>
        </w:trPr>
        <w:tc>
          <w:tcPr>
            <w:tcW w:type="dxa" w:w="5100"/>
            <w:shd w:fill="FFFFFF"/>
          </w:tcPr>
          <w:p>
            <w:pPr>
              <w:spacing w:after="120" w:before="100"/>
            </w:pPr>
            <w:r>
              <w:rPr>
                <w:b w:val="0"/>
                <w:sz w:val="18"/>
              </w:rPr>
              <w:t>Inbetriebnahme vor Ort und 4 Stunden Einführung für bis zu 4 Lehrkräfte statt Remote-Einführung</w:t>
            </w:r>
          </w:p>
        </w:tc>
        <w:tc>
          <w:tcPr>
            <w:tcW w:type="dxa" w:w="5100"/>
            <w:shd w:fill="FFFFFF"/>
          </w:tcPr>
          <w:p>
            <w:pPr>
              <w:spacing w:after="120" w:before="100"/>
            </w:pPr>
            <w:r>
              <w:rPr>
                <w:b w:val="0"/>
                <w:sz w:val="18"/>
              </w:rPr>
              <w:t>490 EUR + Reise</w:t>
            </w:r>
          </w:p>
        </w:tc>
      </w:tr>
      <w:tr>
        <w:trPr>
          <w:cantSplit/>
        </w:trPr>
        <w:tc>
          <w:tcPr>
            <w:tcW w:type="dxa" w:w="5100"/>
            <w:shd w:fill="F0F4F3"/>
          </w:tcPr>
          <w:p>
            <w:pPr>
              <w:spacing w:after="120" w:before="100"/>
            </w:pPr>
            <w:r>
              <w:rPr>
                <w:b w:val="0"/>
                <w:sz w:val="18"/>
              </w:rPr>
              <w:t>Zusätzliche Online-Einführung, 2 Stunden für bis zu 4 Personen</w:t>
            </w:r>
          </w:p>
        </w:tc>
        <w:tc>
          <w:tcPr>
            <w:tcW w:type="dxa" w:w="5100"/>
            <w:shd w:fill="F0F4F3"/>
          </w:tcPr>
          <w:p>
            <w:pPr>
              <w:spacing w:after="120" w:before="100"/>
            </w:pPr>
            <w:r>
              <w:rPr>
                <w:b w:val="0"/>
                <w:sz w:val="18"/>
              </w:rPr>
              <w:t>190 EUR</w:t>
            </w:r>
          </w:p>
        </w:tc>
      </w:tr>
      <w:tr>
        <w:trPr>
          <w:cantSplit/>
        </w:trPr>
        <w:tc>
          <w:tcPr>
            <w:tcW w:type="dxa" w:w="5100"/>
            <w:shd w:fill="FFFFFF"/>
          </w:tcPr>
          <w:p>
            <w:pPr>
              <w:spacing w:after="120" w:before="100"/>
            </w:pPr>
            <w:r>
              <w:rPr>
                <w:b w:val="0"/>
                <w:sz w:val="18"/>
              </w:rPr>
              <w:t>Remote-Anwenderberatung über die 6 Jahresstunden hinaus</w:t>
            </w:r>
          </w:p>
        </w:tc>
        <w:tc>
          <w:tcPr>
            <w:tcW w:type="dxa" w:w="5100"/>
            <w:shd w:fill="FFFFFF"/>
          </w:tcPr>
          <w:p>
            <w:pPr>
              <w:spacing w:after="120" w:before="100"/>
            </w:pPr>
            <w:r>
              <w:rPr>
                <w:b w:val="0"/>
                <w:sz w:val="18"/>
              </w:rPr>
              <w:t>90 EUR / Stunde</w:t>
            </w:r>
          </w:p>
        </w:tc>
      </w:tr>
    </w:tbl>
    <w:p>
      <w:pPr>
        <w:pStyle w:val="Heading2"/>
      </w:pPr>
      <w:r>
        <w:t>Beispiele für vollständige Bestellungen</w:t>
      </w:r>
    </w:p>
    <w:p>
      <w:r>
        <w:t>Deutschland, 30 Personen an einem Tag: 1 490 + 990 + 790 = 3 270 EUR netto. Zwei aufeinanderfolgende Gruppen mit insgesamt 8 Stunden Teilnahmezeit, zuzüglich Pausen und Aufbau.</w:t>
      </w:r>
    </w:p>
    <w:p>
      <w:r>
        <w:t>Deutschland, Complete Station mit Inbetriebnahme vor Ort: 5 990 + 490 + 790 = 7 270 EUR netto. Versand enthalten; jährliche Softwareverlängerung 1 190 EUR.</w:t>
      </w:r>
    </w:p>
    <w:p>
      <w:pPr>
        <w:pStyle w:val="Heading2"/>
      </w:pPr>
      <w:r>
        <w:t>Support und Betrieb</w:t>
      </w:r>
    </w:p>
    <w:p>
      <w:r>
        <w:t>Englischsprachiger Support an ungarischen Werktagen von 09:00 bis 17:00 Uhr, Ortszeit Budapest. Angestrebte Erstreaktion innerhalb von zwei Werktagen. Anwenderberatung über das jährliche 6-Stunden-Kontingent hinaus kostet 90 EUR pro Stunde; Produktfehlermeldungen werden getrennt von diesem Kontingent bearbeitet.</w:t>
      </w:r>
    </w:p>
    <w:p>
      <w:r>
        <w:t>Die Einrichtung stellt eigene Lehrkräfte und geeignete Schulungsräume bereit. Remote-Hardwarediagnose und Koordination von Hersteller-Garantiefällen sind enthalten. Garantiedauer und Zuständigkeit für Reparaturversand werden im Angebot festgelegt. Verbrauchsmaterial, Unfallschäden und Leihgeräte sind nicht enthalten.</w:t>
      </w:r>
    </w:p>
    <w:p>
      <w:r>
        <w:br w:type="page"/>
      </w:r>
    </w:p>
    <w:p>
      <w:pPr>
        <w:pStyle w:val="Heading1"/>
      </w:pPr>
      <w:r>
        <w:t>Kaufmännische Bedingungen</w:t>
      </w:r>
    </w:p>
    <w:p>
      <w:pPr>
        <w:pStyle w:val="Heading2"/>
      </w:pPr>
      <w:r>
        <w:t>Zahlung und Angebotsgültigkeit</w:t>
      </w:r>
    </w:p>
    <w:p>
      <w:r>
        <w:t>Workshop: 50% des Gesamtbetrags bei Buchung, 50% nach Durchführung. Annual Programme: vier verbindliche Besuche innerhalb von 12 Monaten, je Besuch vorab 1 247,50 EUR zuzüglich Reise. Institutional Licence: Zahlung vor Aktivierung. Complete Station: 50% bei Bestellung, 50% vor Versand. Zahlungsziel: 15 Tage; das individuelle Angebot ist 30 Tage gültig.</w:t>
      </w:r>
    </w:p>
    <w:p>
      <w:r>
        <w:t>Stornierungs- und Umbuchungsbedingungen werden vor der Bestellung individuell vereinbart; diese Preisliste legt keine automatische Stornogebühr fest.</w:t>
      </w:r>
    </w:p>
    <w:p>
      <w:pPr>
        <w:pStyle w:val="Heading2"/>
      </w:pPr>
      <w:r>
        <w:t>Lizenz und Schulungsumfang</w:t>
      </w:r>
    </w:p>
    <w:p>
      <w:r>
        <w:t>Die Lizenz dient der Schulung eigener Mitarbeitender und Studierender. Weiterverkauf, Unterlizenzierung, entgeltliche externe Schulungen, weitere Standorte und gleichzeitig betriebene Stationen erfordern eine gesonderte Vereinbarung. Eine Verlängerung gilt für weitere 12 Monate; Quellcode und geistiges Eigentum verbleiben bei den Rechteinhabern.</w:t>
      </w:r>
    </w:p>
    <w:p>
      <w:r>
        <w:t>Neue Übersetzungen, individuelle Szenarien, LMS-Integration und automatisierte Managementberichte werden separat beschrieben und angeboten. Die Anwendungssprache wird bei der Vorführung vor Bestellung bestätigt. Der Workshop umfasst eine Teilnahmebestätigung; akkreditierte BLS/AED-Zertifizierung, Prüfungsgebühren und gesetzlich vorgeschriebene betriebliche Ersthelferqualifikationen sind nicht enthalten.</w:t>
      </w:r>
    </w:p>
    <w:p>
      <w:pPr>
        <w:pStyle w:val="Heading2"/>
      </w:pPr>
      <w:r>
        <w:t>Versand und Steuern</w:t>
      </w:r>
    </w:p>
    <w:p>
      <w:r>
        <w:t>Der Stationspreis enthält versicherten Standardversand innerhalb der EU und Remote-Inbetriebnahme. Sonderfracht und Überseegebiete werden separat angeboten. Für das Vereinigte Königreich, die Schweiz und andere Nicht-EU-Ziele gelten dieselben Basispreise; Fracht, Einfuhrabgaben und lokale Anpassungen werden vor Annahme einzeln ausgewiesen. Reisen für Vor-Ort-Leistungen außerhalb der EU werden individuell angeboten.</w:t>
      </w:r>
    </w:p>
    <w:p>
      <w:r>
        <w:t>Die steuerliche Behandlung wird je Bestellung anhand von Kunde, Zielland und Leistung geklärt. Das Angebot nennt Gesamtpreis, Liefer- bzw. Leistungstermin, Softwaresprache und Gerätespezifikation. Kontakt: info@future-meditech.com.</w:t>
      </w:r>
    </w:p>
    <w:sectPr w:rsidR="00FC693F" w:rsidRPr="0006063C" w:rsidSect="00034616">
      <w:headerReference w:type="default" r:id="rId9"/>
      <w:footerReference w:type="default" r:id="rId10"/>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futuremeditech.hu  •  info@future-meditech.com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FUTURE MEDITECH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Manrope" w:hAnsi="Manrope"/>
      <w:color w:val="0B25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Manrope" w:hAnsi="Manrope"/>
      <w:b/>
      <w:bCs/>
      <w:color w:val="0B2536"/>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Manrope" w:hAnsi="Manrope"/>
      <w:b/>
      <w:bCs/>
      <w:color w:val="0B253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Manrope" w:hAnsi="Manrope"/>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Manrope" w:hAnsi="Manrope"/>
      <w:i/>
      <w:iCs/>
      <w:color w:val="0B2536"/>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c:language>
</cp:coreProperties>
</file>